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E94324">
        <w:trPr>
          <w:trHeight w:val="3534"/>
        </w:trPr>
        <w:tc>
          <w:tcPr>
            <w:tcW w:w="5211" w:type="dxa"/>
            <w:shd w:val="clear" w:color="auto" w:fill="auto"/>
          </w:tcPr>
          <w:p w:rsidR="00AD7AEA" w:rsidRPr="00E94324" w:rsidRDefault="00C64197" w:rsidP="0072342E">
            <w:pPr>
              <w:framePr w:hSpace="180" w:wrap="auto" w:vAnchor="page" w:hAnchor="margin" w:x="358" w:y="905"/>
              <w:ind w:left="257" w:hanging="257"/>
              <w:rPr>
                <w:szCs w:val="24"/>
              </w:rPr>
            </w:pPr>
            <w:r w:rsidRPr="00E94324">
              <w:rPr>
                <w:szCs w:val="24"/>
              </w:rPr>
              <w:t xml:space="preserve">  </w:t>
            </w:r>
            <w:r w:rsidR="001418F4" w:rsidRPr="00E94324">
              <w:rPr>
                <w:szCs w:val="24"/>
              </w:rPr>
              <w:t xml:space="preserve"> </w:t>
            </w:r>
            <w:r w:rsidR="00043A9A" w:rsidRPr="00E94324">
              <w:rPr>
                <w:szCs w:val="24"/>
              </w:rPr>
              <w:t xml:space="preserve"> </w:t>
            </w:r>
            <w:r w:rsidR="00AD7AEA" w:rsidRPr="00E94324">
              <w:rPr>
                <w:szCs w:val="24"/>
              </w:rPr>
              <w:t>СОГЛАСОВАНО</w:t>
            </w:r>
          </w:p>
          <w:p w:rsidR="00AD7AEA" w:rsidRPr="00E94324" w:rsidRDefault="00AD7AEA" w:rsidP="0072342E">
            <w:pPr>
              <w:framePr w:hSpace="180" w:wrap="auto" w:vAnchor="page" w:hAnchor="margin" w:x="358" w:y="905"/>
              <w:ind w:left="257"/>
              <w:rPr>
                <w:szCs w:val="24"/>
              </w:rPr>
            </w:pPr>
          </w:p>
          <w:p w:rsidR="00AD7AEA" w:rsidRPr="00E94324" w:rsidRDefault="00AD7AEA" w:rsidP="0072342E">
            <w:pPr>
              <w:framePr w:hSpace="180" w:wrap="auto" w:vAnchor="page" w:hAnchor="margin" w:x="358" w:y="905"/>
              <w:rPr>
                <w:szCs w:val="24"/>
              </w:rPr>
            </w:pPr>
          </w:p>
          <w:p w:rsidR="00A13C28" w:rsidRPr="00E94324" w:rsidRDefault="00800856" w:rsidP="00A13C28">
            <w:pPr>
              <w:framePr w:hSpace="180" w:wrap="auto" w:vAnchor="page" w:hAnchor="margin" w:x="358" w:y="905"/>
              <w:rPr>
                <w:szCs w:val="24"/>
              </w:rPr>
            </w:pPr>
            <w:r>
              <w:rPr>
                <w:szCs w:val="24"/>
              </w:rPr>
              <w:t>Генеральный</w:t>
            </w:r>
            <w:r w:rsidRPr="00D14B89">
              <w:rPr>
                <w:szCs w:val="24"/>
              </w:rPr>
              <w:t xml:space="preserve"> </w:t>
            </w:r>
            <w:r w:rsidR="00A13C28" w:rsidRPr="00D14B89">
              <w:rPr>
                <w:szCs w:val="24"/>
              </w:rPr>
              <w:t>директор</w:t>
            </w:r>
          </w:p>
          <w:p w:rsidR="00A13C28" w:rsidRPr="00E94324" w:rsidRDefault="00A13C28" w:rsidP="00A13C28">
            <w:pPr>
              <w:framePr w:hSpace="180" w:wrap="auto" w:vAnchor="page" w:hAnchor="margin" w:x="358" w:y="905"/>
              <w:rPr>
                <w:szCs w:val="24"/>
              </w:rPr>
            </w:pPr>
            <w:r w:rsidRPr="00E94324">
              <w:rPr>
                <w:szCs w:val="24"/>
              </w:rPr>
              <w:t>АО «ДК РЕГИОН»</w:t>
            </w:r>
          </w:p>
          <w:p w:rsidR="00A13C28" w:rsidRPr="00E94324" w:rsidRDefault="00A13C28" w:rsidP="00A13C28">
            <w:pPr>
              <w:framePr w:hSpace="180" w:wrap="auto" w:vAnchor="page" w:hAnchor="margin" w:x="358" w:y="905"/>
              <w:ind w:left="257"/>
              <w:rPr>
                <w:szCs w:val="24"/>
              </w:rPr>
            </w:pPr>
          </w:p>
          <w:p w:rsidR="00A13C28" w:rsidRPr="00E94324" w:rsidRDefault="00A13C28" w:rsidP="00A13C28">
            <w:pPr>
              <w:framePr w:hSpace="180" w:wrap="auto" w:vAnchor="page" w:hAnchor="margin" w:x="358" w:y="905"/>
              <w:ind w:left="257"/>
              <w:rPr>
                <w:szCs w:val="24"/>
              </w:rPr>
            </w:pPr>
          </w:p>
          <w:p w:rsidR="00A13C28" w:rsidRPr="00E94324" w:rsidRDefault="00A13C28" w:rsidP="00A13C28">
            <w:pPr>
              <w:framePr w:hSpace="180" w:wrap="auto" w:vAnchor="page" w:hAnchor="margin" w:x="358" w:y="905"/>
              <w:ind w:left="257"/>
              <w:rPr>
                <w:szCs w:val="24"/>
              </w:rPr>
            </w:pPr>
          </w:p>
          <w:p w:rsidR="00A13C28" w:rsidRPr="00E94324" w:rsidRDefault="00A13C28" w:rsidP="00A13C28">
            <w:pPr>
              <w:framePr w:hSpace="180" w:wrap="auto" w:vAnchor="page" w:hAnchor="margin" w:x="358" w:y="905"/>
              <w:ind w:left="257"/>
              <w:rPr>
                <w:szCs w:val="24"/>
              </w:rPr>
            </w:pPr>
          </w:p>
          <w:p w:rsidR="00AD7AEA" w:rsidRPr="00E94324" w:rsidRDefault="00A13C28" w:rsidP="00A13C28">
            <w:pPr>
              <w:framePr w:hSpace="180" w:wrap="auto" w:vAnchor="page" w:hAnchor="margin" w:x="358" w:y="905"/>
              <w:rPr>
                <w:szCs w:val="24"/>
              </w:rPr>
            </w:pPr>
            <w:r w:rsidRPr="00E94324">
              <w:rPr>
                <w:szCs w:val="24"/>
              </w:rPr>
              <w:t>____________________  /</w:t>
            </w:r>
            <w:r w:rsidR="00800856">
              <w:rPr>
                <w:szCs w:val="24"/>
              </w:rPr>
              <w:t>А.А.Зайцева</w:t>
            </w:r>
            <w:r w:rsidRPr="00E94324">
              <w:rPr>
                <w:szCs w:val="24"/>
              </w:rPr>
              <w:t xml:space="preserve">  </w:t>
            </w:r>
            <w:r w:rsidR="00AD7AEA" w:rsidRPr="00E94324">
              <w:rPr>
                <w:szCs w:val="24"/>
              </w:rPr>
              <w:t xml:space="preserve">/                    </w:t>
            </w:r>
          </w:p>
          <w:p w:rsidR="00AD7AEA" w:rsidRPr="00E94324" w:rsidRDefault="00AD7AEA" w:rsidP="0072342E">
            <w:pPr>
              <w:framePr w:hSpace="180" w:wrap="auto" w:vAnchor="page" w:hAnchor="margin" w:x="358" w:y="905"/>
              <w:rPr>
                <w:szCs w:val="24"/>
              </w:rPr>
            </w:pPr>
          </w:p>
          <w:p w:rsidR="00E96A1C" w:rsidRDefault="00E96A1C" w:rsidP="00800856">
            <w:pPr>
              <w:framePr w:hSpace="180" w:wrap="auto" w:vAnchor="page" w:hAnchor="margin" w:x="358" w:y="905"/>
              <w:rPr>
                <w:szCs w:val="24"/>
              </w:rPr>
            </w:pPr>
          </w:p>
          <w:p w:rsidR="00AD7AEA" w:rsidRPr="00E94324" w:rsidRDefault="00F013EC" w:rsidP="008169F7">
            <w:pPr>
              <w:framePr w:hSpace="180" w:wrap="auto" w:vAnchor="page" w:hAnchor="margin" w:x="358" w:y="905"/>
              <w:rPr>
                <w:sz w:val="28"/>
                <w:szCs w:val="28"/>
              </w:rPr>
            </w:pPr>
            <w:r w:rsidRPr="00E94324">
              <w:rPr>
                <w:szCs w:val="24"/>
              </w:rPr>
              <w:t>«</w:t>
            </w:r>
            <w:r w:rsidR="00E80CD6">
              <w:rPr>
                <w:szCs w:val="24"/>
              </w:rPr>
              <w:t>1</w:t>
            </w:r>
            <w:r w:rsidR="00732D63">
              <w:rPr>
                <w:szCs w:val="24"/>
              </w:rPr>
              <w:t>5</w:t>
            </w:r>
            <w:r w:rsidRPr="00E94324">
              <w:rPr>
                <w:szCs w:val="24"/>
              </w:rPr>
              <w:t xml:space="preserve">» </w:t>
            </w:r>
            <w:r w:rsidR="007222E4">
              <w:rPr>
                <w:szCs w:val="24"/>
              </w:rPr>
              <w:t xml:space="preserve">февраля </w:t>
            </w:r>
            <w:r w:rsidRPr="00E94324">
              <w:rPr>
                <w:szCs w:val="24"/>
              </w:rPr>
              <w:t>202</w:t>
            </w:r>
            <w:r w:rsidR="00C2308F">
              <w:rPr>
                <w:szCs w:val="24"/>
              </w:rPr>
              <w:t>4</w:t>
            </w:r>
            <w:r w:rsidRPr="00E94324">
              <w:rPr>
                <w:szCs w:val="24"/>
              </w:rPr>
              <w:t xml:space="preserve"> г.</w:t>
            </w:r>
          </w:p>
        </w:tc>
        <w:tc>
          <w:tcPr>
            <w:tcW w:w="4395" w:type="dxa"/>
            <w:shd w:val="clear" w:color="auto" w:fill="auto"/>
          </w:tcPr>
          <w:p w:rsidR="00AD7AEA" w:rsidRPr="00E94324" w:rsidRDefault="00AD7AEA" w:rsidP="0072342E">
            <w:pPr>
              <w:framePr w:hSpace="180" w:wrap="auto" w:vAnchor="page" w:hAnchor="margin" w:x="358" w:y="905"/>
              <w:rPr>
                <w:szCs w:val="24"/>
              </w:rPr>
            </w:pPr>
            <w:r w:rsidRPr="00E94324">
              <w:rPr>
                <w:szCs w:val="24"/>
              </w:rPr>
              <w:t xml:space="preserve">УТВЕРЖДЕНО </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FA592F" w:rsidP="0072342E">
            <w:pPr>
              <w:framePr w:hSpace="180" w:wrap="auto" w:vAnchor="page" w:hAnchor="margin" w:x="358" w:y="905"/>
              <w:rPr>
                <w:szCs w:val="24"/>
              </w:rPr>
            </w:pPr>
            <w:r w:rsidRPr="00E94324">
              <w:rPr>
                <w:szCs w:val="24"/>
              </w:rPr>
              <w:t>Г</w:t>
            </w:r>
            <w:r w:rsidR="00AD7AEA" w:rsidRPr="00E94324">
              <w:rPr>
                <w:szCs w:val="24"/>
              </w:rPr>
              <w:t>енеральн</w:t>
            </w:r>
            <w:r w:rsidR="00F013EC" w:rsidRPr="00E94324">
              <w:rPr>
                <w:szCs w:val="24"/>
              </w:rPr>
              <w:t xml:space="preserve">ый </w:t>
            </w:r>
            <w:r w:rsidR="00AD7AEA" w:rsidRPr="00E94324">
              <w:rPr>
                <w:szCs w:val="24"/>
              </w:rPr>
              <w:t xml:space="preserve"> директор </w:t>
            </w:r>
          </w:p>
          <w:p w:rsidR="00AD7AEA" w:rsidRPr="00E94324" w:rsidRDefault="00867899" w:rsidP="0072342E">
            <w:pPr>
              <w:framePr w:hSpace="180" w:wrap="auto" w:vAnchor="page" w:hAnchor="margin" w:x="358" w:y="905"/>
              <w:rPr>
                <w:szCs w:val="24"/>
              </w:rPr>
            </w:pPr>
            <w:r w:rsidRPr="00E94324">
              <w:rPr>
                <w:szCs w:val="24"/>
              </w:rPr>
              <w:t>АО «РЕГИОН ЭсМ»</w:t>
            </w: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1B3087" w:rsidRPr="00E94324" w:rsidRDefault="001B3087"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p>
          <w:p w:rsidR="00AD7AEA" w:rsidRPr="00E94324" w:rsidRDefault="00AD7AEA" w:rsidP="0072342E">
            <w:pPr>
              <w:framePr w:hSpace="180" w:wrap="auto" w:vAnchor="page" w:hAnchor="margin" w:x="358" w:y="905"/>
              <w:rPr>
                <w:szCs w:val="24"/>
              </w:rPr>
            </w:pPr>
            <w:r w:rsidRPr="00E94324">
              <w:rPr>
                <w:szCs w:val="24"/>
              </w:rPr>
              <w:t>________________ /</w:t>
            </w:r>
            <w:r w:rsidR="00F013EC" w:rsidRPr="00E94324">
              <w:rPr>
                <w:szCs w:val="24"/>
              </w:rPr>
              <w:t>Е.А.Зайцева</w:t>
            </w:r>
            <w:r w:rsidRPr="00E94324">
              <w:rPr>
                <w:szCs w:val="24"/>
              </w:rPr>
              <w:t>/</w:t>
            </w:r>
          </w:p>
          <w:p w:rsidR="00AD7AEA" w:rsidRPr="00E94324" w:rsidRDefault="00AD7AEA" w:rsidP="0072342E">
            <w:pPr>
              <w:framePr w:hSpace="180" w:wrap="auto" w:vAnchor="page" w:hAnchor="margin" w:x="358" w:y="905"/>
              <w:tabs>
                <w:tab w:val="left" w:pos="2722"/>
              </w:tabs>
              <w:rPr>
                <w:szCs w:val="24"/>
              </w:rPr>
            </w:pPr>
          </w:p>
          <w:p w:rsidR="00800856" w:rsidRDefault="00800856" w:rsidP="00800856">
            <w:pPr>
              <w:framePr w:hSpace="180" w:wrap="auto" w:vAnchor="page" w:hAnchor="margin" w:x="358" w:y="905"/>
              <w:tabs>
                <w:tab w:val="left" w:pos="2722"/>
              </w:tabs>
              <w:rPr>
                <w:szCs w:val="24"/>
              </w:rPr>
            </w:pPr>
          </w:p>
          <w:p w:rsidR="00AD7AEA" w:rsidRPr="00E94324" w:rsidRDefault="009F3E47" w:rsidP="008169F7">
            <w:pPr>
              <w:framePr w:hSpace="180" w:wrap="auto" w:vAnchor="page" w:hAnchor="margin" w:x="358" w:y="905"/>
              <w:tabs>
                <w:tab w:val="left" w:pos="2722"/>
              </w:tabs>
              <w:rPr>
                <w:szCs w:val="24"/>
              </w:rPr>
            </w:pPr>
            <w:r w:rsidRPr="00E94324">
              <w:rPr>
                <w:szCs w:val="24"/>
              </w:rPr>
              <w:t>«</w:t>
            </w:r>
            <w:r w:rsidR="001F0992">
              <w:rPr>
                <w:szCs w:val="24"/>
              </w:rPr>
              <w:t>1</w:t>
            </w:r>
            <w:r w:rsidR="00732D63">
              <w:rPr>
                <w:szCs w:val="24"/>
              </w:rPr>
              <w:t>5</w:t>
            </w:r>
            <w:r w:rsidR="00AF5515" w:rsidRPr="00E94324">
              <w:rPr>
                <w:szCs w:val="24"/>
              </w:rPr>
              <w:t xml:space="preserve">» </w:t>
            </w:r>
            <w:r w:rsidR="007222E4">
              <w:rPr>
                <w:szCs w:val="24"/>
              </w:rPr>
              <w:t xml:space="preserve">февраля </w:t>
            </w:r>
            <w:r w:rsidR="00F115D7" w:rsidRPr="00E94324">
              <w:rPr>
                <w:szCs w:val="24"/>
              </w:rPr>
              <w:t>202</w:t>
            </w:r>
            <w:r w:rsidR="00C2308F">
              <w:rPr>
                <w:szCs w:val="24"/>
              </w:rPr>
              <w:t>4</w:t>
            </w:r>
            <w:r w:rsidR="00781DD6" w:rsidRPr="00E94324">
              <w:rPr>
                <w:szCs w:val="24"/>
              </w:rPr>
              <w:t xml:space="preserve"> </w:t>
            </w:r>
            <w:r w:rsidR="00AD7AEA" w:rsidRPr="00E94324">
              <w:rPr>
                <w:szCs w:val="24"/>
              </w:rPr>
              <w:t>г.</w:t>
            </w:r>
            <w:r w:rsidR="00AD7AEA" w:rsidRPr="00E94324">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906E53" w:rsidRPr="006D7089" w:rsidRDefault="00906E53" w:rsidP="00906E53">
      <w:pPr>
        <w:ind w:left="360"/>
        <w:rPr>
          <w:sz w:val="28"/>
          <w:szCs w:val="28"/>
        </w:rPr>
      </w:pPr>
    </w:p>
    <w:p w:rsidR="00906E53" w:rsidRPr="00207827" w:rsidRDefault="00906E53" w:rsidP="00906E53">
      <w:pPr>
        <w:ind w:left="360"/>
        <w:rPr>
          <w:sz w:val="28"/>
          <w:szCs w:val="28"/>
        </w:rPr>
      </w:pPr>
    </w:p>
    <w:p w:rsidR="00F04A45" w:rsidRDefault="00F04A45"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Default="00603AB0" w:rsidP="00F04A45">
      <w:pPr>
        <w:ind w:left="360"/>
        <w:rPr>
          <w:sz w:val="28"/>
          <w:szCs w:val="28"/>
        </w:rPr>
      </w:pPr>
    </w:p>
    <w:p w:rsidR="00603AB0" w:rsidRPr="00207827" w:rsidRDefault="00603AB0" w:rsidP="00F04A45">
      <w:pPr>
        <w:ind w:left="360"/>
        <w:rPr>
          <w:sz w:val="28"/>
          <w:szCs w:val="28"/>
        </w:rPr>
      </w:pPr>
    </w:p>
    <w:p w:rsidR="00F04A45" w:rsidRDefault="00F04A45" w:rsidP="00F04A45">
      <w:pPr>
        <w:jc w:val="center"/>
        <w:rPr>
          <w:b/>
          <w:bCs/>
          <w:sz w:val="34"/>
          <w:szCs w:val="34"/>
        </w:rPr>
      </w:pPr>
      <w:r w:rsidRPr="00207827">
        <w:rPr>
          <w:b/>
          <w:bCs/>
          <w:sz w:val="34"/>
          <w:szCs w:val="34"/>
        </w:rPr>
        <w:t>ПРАВИЛА</w:t>
      </w:r>
    </w:p>
    <w:p w:rsidR="00F04A45" w:rsidRDefault="00F04A45" w:rsidP="00F04A45">
      <w:pPr>
        <w:jc w:val="center"/>
        <w:rPr>
          <w:b/>
          <w:bCs/>
          <w:sz w:val="32"/>
          <w:szCs w:val="32"/>
        </w:rPr>
      </w:pPr>
      <w:r w:rsidRPr="00287F00">
        <w:rPr>
          <w:b/>
          <w:bCs/>
          <w:sz w:val="32"/>
          <w:szCs w:val="32"/>
        </w:rPr>
        <w:t>определения стоимости чистых активов</w:t>
      </w:r>
    </w:p>
    <w:p w:rsidR="00484282" w:rsidRPr="00B602F2" w:rsidRDefault="00F04A45" w:rsidP="00F04A45">
      <w:pPr>
        <w:ind w:left="-284" w:right="-284"/>
        <w:jc w:val="center"/>
      </w:pPr>
      <w:r w:rsidRPr="00287F00">
        <w:rPr>
          <w:b/>
          <w:bCs/>
          <w:sz w:val="32"/>
          <w:szCs w:val="32"/>
        </w:rPr>
        <w:t xml:space="preserve">Открытого паевого инвестиционного фонда рыночных финансовых инструментов </w:t>
      </w:r>
      <w:r w:rsidRPr="00B602F2">
        <w:rPr>
          <w:b/>
          <w:bCs/>
          <w:sz w:val="32"/>
          <w:szCs w:val="32"/>
        </w:rPr>
        <w:t>«</w:t>
      </w:r>
      <w:r w:rsidR="005B1DFA" w:rsidRPr="00216978">
        <w:rPr>
          <w:b/>
          <w:bCs/>
          <w:sz w:val="32"/>
          <w:szCs w:val="32"/>
        </w:rPr>
        <w:t>РЕГИОН Доходные облигации</w:t>
      </w:r>
      <w:r w:rsidRPr="00B602F2">
        <w:rPr>
          <w:b/>
          <w:bCs/>
          <w:sz w:val="32"/>
          <w:szCs w:val="32"/>
        </w:rPr>
        <w:t>»</w:t>
      </w:r>
    </w:p>
    <w:p w:rsidR="00484282" w:rsidRPr="00B602F2" w:rsidRDefault="00484282" w:rsidP="0072342E">
      <w:pPr>
        <w:pStyle w:val="BodyNum"/>
        <w:numPr>
          <w:ilvl w:val="0"/>
          <w:numId w:val="0"/>
        </w:numPr>
        <w:ind w:left="2160"/>
      </w:pPr>
    </w:p>
    <w:p w:rsidR="00DF7B1B" w:rsidRDefault="00DF7B1B" w:rsidP="0072342E"/>
    <w:p w:rsidR="00644427" w:rsidRDefault="00644427" w:rsidP="0072342E"/>
    <w:p w:rsidR="00644427" w:rsidRDefault="00644427" w:rsidP="0072342E"/>
    <w:p w:rsidR="00644427" w:rsidRDefault="00644427" w:rsidP="0072342E"/>
    <w:p w:rsidR="00644427" w:rsidRDefault="00644427" w:rsidP="0072342E"/>
    <w:p w:rsidR="00644427" w:rsidRDefault="00644427" w:rsidP="0072342E"/>
    <w:p w:rsidR="00644427" w:rsidRDefault="00644427" w:rsidP="0072342E"/>
    <w:p w:rsidR="00644427" w:rsidRDefault="00644427" w:rsidP="0072342E"/>
    <w:p w:rsidR="00644427" w:rsidRDefault="00644427" w:rsidP="0072342E">
      <w:bookmarkStart w:id="0" w:name="_GoBack"/>
      <w:bookmarkEnd w:id="0"/>
    </w:p>
    <w:p w:rsidR="00532BF0" w:rsidRDefault="00532BF0" w:rsidP="0072342E"/>
    <w:p w:rsidR="00532BF0" w:rsidRDefault="00532BF0"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EA4001" w:rsidRPr="00DF7B1B" w:rsidRDefault="00EA4001" w:rsidP="0072342E">
      <w:pPr>
        <w:pStyle w:val="15"/>
      </w:pPr>
      <w:bookmarkStart w:id="1" w:name="_Toc66447208"/>
      <w:bookmarkStart w:id="2" w:name="_Toc74043288"/>
      <w:r w:rsidRPr="0059768E">
        <w:lastRenderedPageBreak/>
        <w:t>Общие</w:t>
      </w:r>
      <w:r w:rsidRPr="00DF7B1B">
        <w:t xml:space="preserve"> положения.</w:t>
      </w:r>
      <w:bookmarkEnd w:id="1"/>
      <w:bookmarkEnd w:id="2"/>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8C0459" w:rsidRPr="00F825E1">
        <w:rPr>
          <w:rFonts w:ascii="Times New Roman" w:hAnsi="Times New Roman"/>
          <w:sz w:val="24"/>
          <w:szCs w:val="24"/>
        </w:rPr>
        <w:t xml:space="preserve">Открытого паевого инвестиционного фонда </w:t>
      </w:r>
      <w:r w:rsidR="008C0459">
        <w:rPr>
          <w:rFonts w:ascii="Times New Roman" w:hAnsi="Times New Roman"/>
          <w:sz w:val="24"/>
          <w:szCs w:val="24"/>
        </w:rPr>
        <w:t>рыночных финансовых инструментов</w:t>
      </w:r>
      <w:r w:rsidR="008C0459" w:rsidRPr="000C6C4D">
        <w:rPr>
          <w:rFonts w:ascii="Times New Roman" w:hAnsi="Times New Roman"/>
          <w:sz w:val="24"/>
          <w:szCs w:val="24"/>
        </w:rPr>
        <w:t xml:space="preserve"> </w:t>
      </w:r>
      <w:r w:rsidR="008C0459" w:rsidRPr="00337DBE">
        <w:rPr>
          <w:rFonts w:ascii="Times New Roman" w:hAnsi="Times New Roman"/>
          <w:sz w:val="24"/>
          <w:szCs w:val="24"/>
        </w:rPr>
        <w:t>«</w:t>
      </w:r>
      <w:r w:rsidR="005B1DFA" w:rsidRPr="00216978">
        <w:rPr>
          <w:rFonts w:ascii="Times New Roman" w:hAnsi="Times New Roman"/>
          <w:sz w:val="24"/>
          <w:szCs w:val="24"/>
        </w:rPr>
        <w:t>РЕГИОН Доходные облигации</w:t>
      </w:r>
      <w:r w:rsidR="008C0459" w:rsidRPr="00337DBE">
        <w:rPr>
          <w:rFonts w:ascii="Times New Roman" w:hAnsi="Times New Roman"/>
          <w:sz w:val="24"/>
          <w:szCs w:val="24"/>
        </w:rPr>
        <w:t>»</w:t>
      </w:r>
      <w:r w:rsidR="008C0459" w:rsidRPr="00F825E1" w:rsidDel="008C0459">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Федерации от 25 августа 2015 года  № 3758-У «Об определени</w:t>
      </w:r>
      <w:r w:rsidR="0045539C">
        <w:rPr>
          <w:rFonts w:ascii="Times New Roman" w:hAnsi="Times New Roman"/>
          <w:sz w:val="24"/>
          <w:szCs w:val="24"/>
        </w:rPr>
        <w:t>и</w:t>
      </w:r>
      <w:r w:rsidRPr="00B602F2">
        <w:rPr>
          <w:rFonts w:ascii="Times New Roman" w:hAnsi="Times New Roman"/>
          <w:sz w:val="24"/>
          <w:szCs w:val="24"/>
        </w:rPr>
        <w:t xml:space="preserve">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E94324" w:rsidRDefault="008068EC" w:rsidP="0072342E">
      <w:pPr>
        <w:pStyle w:val="a0"/>
      </w:pPr>
      <w:r w:rsidRPr="00E94324">
        <w:t xml:space="preserve">Правила определения СЧА </w:t>
      </w:r>
      <w:r w:rsidR="0042481A" w:rsidRPr="00E94324">
        <w:t xml:space="preserve">в настоящей редакции </w:t>
      </w:r>
      <w:r w:rsidRPr="00E94324">
        <w:t xml:space="preserve">применяются </w:t>
      </w:r>
      <w:r w:rsidR="0042481A" w:rsidRPr="00E94324">
        <w:t xml:space="preserve">с </w:t>
      </w:r>
      <w:r w:rsidR="00E94324" w:rsidRPr="00E94324">
        <w:t>01</w:t>
      </w:r>
      <w:r w:rsidR="0027588B" w:rsidRPr="00E94324">
        <w:t xml:space="preserve"> </w:t>
      </w:r>
      <w:r w:rsidR="00872559">
        <w:t xml:space="preserve">марта </w:t>
      </w:r>
      <w:r w:rsidR="00872559" w:rsidRPr="00E94324">
        <w:t xml:space="preserve"> </w:t>
      </w:r>
      <w:r w:rsidR="0042481A" w:rsidRPr="00E94324">
        <w:t>20</w:t>
      </w:r>
      <w:r w:rsidR="00EC149B" w:rsidRPr="00E94324">
        <w:t>2</w:t>
      </w:r>
      <w:r w:rsidR="00872559">
        <w:t>4</w:t>
      </w:r>
      <w:r w:rsidR="006B6937" w:rsidRPr="00E94324">
        <w:t xml:space="preserve"> </w:t>
      </w:r>
      <w:r w:rsidR="0042481A" w:rsidRPr="00E94324">
        <w:t>г.</w:t>
      </w:r>
      <w:r w:rsidRPr="00E94324">
        <w:t xml:space="preserve"> </w:t>
      </w:r>
    </w:p>
    <w:p w:rsidR="00EB2CBA" w:rsidRPr="004E6C9F" w:rsidRDefault="0033487F" w:rsidP="0072342E">
      <w:pPr>
        <w:pStyle w:val="a0"/>
      </w:pPr>
      <w:r w:rsidRPr="00E94324">
        <w:t>Изменения и дополнения</w:t>
      </w:r>
      <w:r w:rsidRPr="004E6C9F">
        <w:t xml:space="preserve">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w:t>
      </w:r>
      <w:r w:rsidR="004D6B6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1A11B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2.25pt" o:ole="">
            <v:imagedata r:id="rId9" o:title=""/>
          </v:shape>
          <o:OLEObject Type="Embed" ProgID="Equation.3" ShapeID="_x0000_i1025" DrawAspect="Content" ObjectID="_1769426066"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34355E7C">
          <v:shape id="_x0000_i1026" type="#_x0000_t75" style="width:8.25pt;height:16.5pt" o:ole="">
            <v:imagedata r:id="rId11" o:title=""/>
          </v:shape>
          <o:OLEObject Type="Embed" ProgID="Equation.3" ShapeID="_x0000_i1026" DrawAspect="Content" ObjectID="_1769426067"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7E768ABB">
          <v:shape id="_x0000_i1027" type="#_x0000_t75" style="width:11.25pt;height:11.25pt" o:ole="">
            <v:imagedata r:id="rId13" o:title=""/>
          </v:shape>
          <o:OLEObject Type="Embed" ProgID="Equation.3" ShapeID="_x0000_i1027" DrawAspect="Content" ObjectID="_1769426068"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24B51BAA">
          <v:shape id="_x0000_i1028" type="#_x0000_t75" style="width:44.25pt;height:21pt" o:ole="">
            <v:imagedata r:id="rId15" o:title=""/>
          </v:shape>
          <o:OLEObject Type="Embed" ProgID="Equation.3" ShapeID="_x0000_i1028" DrawAspect="Content" ObjectID="_1769426069"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52F2FE08">
          <v:shape id="_x0000_i1029" type="#_x0000_t75" style="width:11.25pt;height:21pt" o:ole="">
            <v:imagedata r:id="rId17" o:title=""/>
          </v:shape>
          <o:OLEObject Type="Embed" ProgID="Equation.3" ShapeID="_x0000_i1029" DrawAspect="Content" ObjectID="_1769426070"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4F08585D">
          <v:shape id="_x0000_i1030" type="#_x0000_t75" style="width:132.75pt;height:48.75pt" o:ole="">
            <v:imagedata r:id="rId19" o:title=""/>
          </v:shape>
          <o:OLEObject Type="Embed" ProgID="Equation.3" ShapeID="_x0000_i1030" DrawAspect="Content" ObjectID="_1769426071"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0E32D15D">
          <v:shape id="_x0000_i1031" type="#_x0000_t75" style="width:48.75pt;height:18.75pt" o:ole="">
            <v:imagedata r:id="rId21" o:title=""/>
          </v:shape>
          <o:OLEObject Type="Embed" ProgID="Equation.3" ShapeID="_x0000_i1031" DrawAspect="Content" ObjectID="_1769426072"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4E968DA3">
          <v:shape id="_x0000_i1032" type="#_x0000_t75" style="width:23.25pt;height:18.75pt" o:ole="">
            <v:imagedata r:id="rId23" o:title=""/>
          </v:shape>
          <o:OLEObject Type="Embed" ProgID="Equation.3" ShapeID="_x0000_i1032" DrawAspect="Content" ObjectID="_1769426073"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00C4908B">
          <v:shape id="_x0000_i1033" type="#_x0000_t75" style="width:9pt;height:8.25pt" o:ole="">
            <v:imagedata r:id="rId25" o:title=""/>
          </v:shape>
          <o:OLEObject Type="Embed" ProgID="Equation.3" ShapeID="_x0000_i1033" DrawAspect="Content" ObjectID="_1769426074"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FE9CE4F">
          <v:shape id="_x0000_i1034" type="#_x0000_t75" style="width:23.25pt;height:21pt" o:ole="">
            <v:imagedata r:id="rId27" o:title=""/>
          </v:shape>
          <o:OLEObject Type="Embed" ProgID="Equation.3" ShapeID="_x0000_i1034" DrawAspect="Content" ObjectID="_1769426075"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179C6DD1">
          <v:shape id="_x0000_i1035" type="#_x0000_t75" style="width:22.5pt;height:22.5pt" o:ole="">
            <v:imagedata r:id="rId29" o:title=""/>
          </v:shape>
          <o:OLEObject Type="Embed" ProgID="Equation.3" ShapeID="_x0000_i1035" DrawAspect="Content" ObjectID="_1769426076"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672DA3FB">
          <v:shape id="_x0000_i1036" type="#_x0000_t75" style="width:15pt;height:21pt" o:ole="">
            <v:imagedata r:id="rId31" o:title=""/>
          </v:shape>
          <o:OLEObject Type="Embed" ProgID="Equation.3" ShapeID="_x0000_i1036" DrawAspect="Content" ObjectID="_1769426077"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5.5pt;height:33.75pt" o:ole="">
                  <v:imagedata r:id="rId33" o:title=""/>
                </v:shape>
                <o:OLEObject Type="Embed" ProgID="Equation.3" ShapeID="_x0000_i1038" DrawAspect="Content" ObjectID="_1769426078"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4FEEC7A3">
          <v:shape id="_x0000_i1039" type="#_x0000_t75" style="width:11.25pt;height:21pt" o:ole="">
            <v:imagedata r:id="rId35" o:title=""/>
          </v:shape>
          <o:OLEObject Type="Embed" ProgID="Equation.3" ShapeID="_x0000_i1039" DrawAspect="Content" ObjectID="_1769426079" r:id="rId36"/>
        </w:object>
      </w:r>
      <w:r w:rsidRPr="00207827">
        <w:rPr>
          <w:rFonts w:eastAsia="Batang"/>
          <w:color w:val="000000"/>
          <w:szCs w:val="24"/>
        </w:rPr>
        <w:t xml:space="preserve"> и </w:t>
      </w:r>
      <w:r w:rsidRPr="00207827">
        <w:rPr>
          <w:rFonts w:eastAsia="Batang"/>
          <w:color w:val="000000"/>
          <w:szCs w:val="24"/>
        </w:rPr>
        <w:object w:dxaOrig="840" w:dyaOrig="360" w14:anchorId="166D92A8">
          <v:shape id="_x0000_i1040" type="#_x0000_t75" style="width:44.25pt;height:21pt" o:ole="">
            <v:imagedata r:id="rId37" o:title=""/>
          </v:shape>
          <o:OLEObject Type="Embed" ProgID="Equation.3" ShapeID="_x0000_i1040" DrawAspect="Content" ObjectID="_1769426080"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49FF3BA">
          <v:shape id="_x0000_i1041" type="#_x0000_t75" style="width:222pt;height:51pt" o:ole="">
            <v:imagedata r:id="rId39" o:title=""/>
          </v:shape>
          <o:OLEObject Type="Embed" ProgID="Equation.3" ShapeID="_x0000_i1041" DrawAspect="Content" ObjectID="_1769426081"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5DEFF">
          <v:shape id="_x0000_i1042" type="#_x0000_t75" style="width:15pt;height:21pt" o:ole="">
            <v:imagedata r:id="rId41" o:title=""/>
          </v:shape>
          <o:OLEObject Type="Embed" ProgID="Equation.3" ShapeID="_x0000_i1042" DrawAspect="Content" ObjectID="_1769426082"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04588780">
          <v:shape id="_x0000_i1043" type="#_x0000_t75" style="width:11.25pt;height:21pt" o:ole="">
            <v:imagedata r:id="rId43" o:title=""/>
          </v:shape>
          <o:OLEObject Type="Embed" ProgID="Equation.3" ShapeID="_x0000_i1043" DrawAspect="Content" ObjectID="_1769426083"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5352E914">
          <v:shape id="_x0000_i1044" type="#_x0000_t75" style="width:11.25pt;height:11.25pt" o:ole="">
            <v:imagedata r:id="rId13" o:title=""/>
          </v:shape>
          <o:OLEObject Type="Embed" ProgID="Equation.3" ShapeID="_x0000_i1044" DrawAspect="Content" ObjectID="_1769426084"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2EC48B38">
          <v:shape id="_x0000_i1045" type="#_x0000_t75" style="width:11.25pt;height:21pt" o:ole="">
            <v:imagedata r:id="rId46" o:title=""/>
          </v:shape>
          <o:OLEObject Type="Embed" ProgID="Equation.3" ShapeID="_x0000_i1045" DrawAspect="Content" ObjectID="_1769426085"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451DACD9">
          <v:shape id="_x0000_i1046" type="#_x0000_t75" style="width:11.25pt;height:21pt" o:ole="">
            <v:imagedata r:id="rId43" o:title=""/>
          </v:shape>
          <o:OLEObject Type="Embed" ProgID="Equation.3" ShapeID="_x0000_i1046" DrawAspect="Content" ObjectID="_1769426086"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1E7CE1F1">
          <v:shape id="_x0000_i1047" type="#_x0000_t75" style="width:11.25pt;height:21pt" o:ole="">
            <v:imagedata r:id="rId46" o:title=""/>
          </v:shape>
          <o:OLEObject Type="Embed" ProgID="Equation.3" ShapeID="_x0000_i1047" DrawAspect="Content" ObjectID="_1769426087"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37F49D9D">
          <v:shape id="_x0000_i1048" type="#_x0000_t75" style="width:11.25pt;height:21pt" o:ole="">
            <v:imagedata r:id="rId43" o:title=""/>
          </v:shape>
          <o:OLEObject Type="Embed" ProgID="Equation.3" ShapeID="_x0000_i1048" DrawAspect="Content" ObjectID="_1769426088"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3E4F5951">
          <v:shape id="_x0000_i1049" type="#_x0000_t75" style="width:30pt;height:21pt" o:ole="">
            <v:imagedata r:id="rId51" o:title=""/>
          </v:shape>
          <o:OLEObject Type="Embed" ProgID="Equation.3" ShapeID="_x0000_i1049" DrawAspect="Content" ObjectID="_1769426089"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52244A2">
          <v:shape id="_x0000_i1050" type="#_x0000_t75" style="width:44.25pt;height:16.5pt" o:ole="">
            <v:imagedata r:id="rId53" o:title=""/>
          </v:shape>
          <o:OLEObject Type="Embed" ProgID="Equation.3" ShapeID="_x0000_i1050" DrawAspect="Content" ObjectID="_1769426090"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0EAFA3EA">
          <v:shape id="_x0000_i1051" type="#_x0000_t75" style="width:11.25pt;height:21pt" o:ole="">
            <v:imagedata r:id="rId43" o:title=""/>
          </v:shape>
          <o:OLEObject Type="Embed" ProgID="Equation.3" ShapeID="_x0000_i1051" DrawAspect="Content" ObjectID="_1769426091"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0330102B">
          <v:shape id="_x0000_i1052" type="#_x0000_t75" style="width:380.25pt;height:131.25pt" o:ole="">
            <v:imagedata r:id="rId56" o:title=""/>
          </v:shape>
          <o:OLEObject Type="Embed" ProgID="Equation.3" ShapeID="_x0000_i1052" DrawAspect="Content" ObjectID="_1769426092"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65E8F206">
          <v:shape id="_x0000_i1053" type="#_x0000_t75" style="width:51pt;height:21pt" o:ole="">
            <v:imagedata r:id="rId58" o:title=""/>
          </v:shape>
          <o:OLEObject Type="Embed" ProgID="Equation.3" ShapeID="_x0000_i1053" DrawAspect="Content" ObjectID="_1769426093"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499B70F">
          <v:shape id="_x0000_i1054" type="#_x0000_t75" style="width:22.5pt;height:21pt" o:ole="">
            <v:imagedata r:id="rId60" o:title=""/>
          </v:shape>
          <o:OLEObject Type="Embed" ProgID="Equation.3" ShapeID="_x0000_i1054" DrawAspect="Content" ObjectID="_1769426094"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81093FE">
          <v:shape id="_x0000_i1055" type="#_x0000_t75" style="width:30pt;height:33pt" o:ole="">
            <v:imagedata r:id="rId62" o:title=""/>
          </v:shape>
          <o:OLEObject Type="Embed" ProgID="Equation.3" ShapeID="_x0000_i1055" DrawAspect="Content" ObjectID="_1769426095"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7F0A2D12">
          <v:shape id="_x0000_i1056" type="#_x0000_t75" style="width:9pt;height:8.25pt" o:ole="">
            <v:imagedata r:id="rId25" o:title=""/>
          </v:shape>
          <o:OLEObject Type="Embed" ProgID="Equation.3" ShapeID="_x0000_i1056" DrawAspect="Content" ObjectID="_1769426096"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446FF56A">
          <v:shape id="_x0000_i1057" type="#_x0000_t75" style="width:23.25pt;height:21pt" o:ole="">
            <v:imagedata r:id="rId27" o:title=""/>
          </v:shape>
          <o:OLEObject Type="Embed" ProgID="Equation.3" ShapeID="_x0000_i1057" DrawAspect="Content" ObjectID="_1769426097"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1626B050">
          <v:shape id="_x0000_i1058" type="#_x0000_t75" style="width:11.25pt;height:21pt" o:ole="">
            <v:imagedata r:id="rId46" o:title=""/>
          </v:shape>
          <o:OLEObject Type="Embed" ProgID="Equation.3" ShapeID="_x0000_i1058" DrawAspect="Content" ObjectID="_1769426098"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6546A781">
          <v:shape id="_x0000_i1059" type="#_x0000_t75" style="width:22.5pt;height:22.5pt" o:ole="">
            <v:imagedata r:id="rId29" o:title=""/>
          </v:shape>
          <o:OLEObject Type="Embed" ProgID="Equation.3" ShapeID="_x0000_i1059" DrawAspect="Content" ObjectID="_1769426099"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6294F3C7">
          <v:shape id="_x0000_i1060" type="#_x0000_t75" style="width:11.25pt;height:21pt" o:ole="">
            <v:imagedata r:id="rId46" o:title=""/>
          </v:shape>
          <o:OLEObject Type="Embed" ProgID="Equation.3" ShapeID="_x0000_i1060" DrawAspect="Content" ObjectID="_1769426100"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8F310">
          <v:shape id="_x0000_i1061" type="#_x0000_t75" style="width:15pt;height:21pt" o:ole="">
            <v:imagedata r:id="rId31" o:title=""/>
          </v:shape>
          <o:OLEObject Type="Embed" ProgID="Equation.3" ShapeID="_x0000_i1061" DrawAspect="Content" ObjectID="_1769426101"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7A715126">
          <v:shape id="_x0000_i1062" type="#_x0000_t75" style="width:11.25pt;height:21pt" o:ole="">
            <v:imagedata r:id="rId46" o:title=""/>
          </v:shape>
          <o:OLEObject Type="Embed" ProgID="Equation.3" ShapeID="_x0000_i1062" DrawAspect="Content" ObjectID="_1769426102"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684322AD">
          <v:shape id="_x0000_i1063" type="#_x0000_t75" style="width:16.5pt;height:21pt" o:ole="">
            <v:imagedata r:id="rId71" o:title=""/>
          </v:shape>
          <o:OLEObject Type="Embed" ProgID="Equation.3" ShapeID="_x0000_i1063" DrawAspect="Content" ObjectID="_1769426103"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72963B0F">
          <v:shape id="_x0000_i1064" type="#_x0000_t75" style="width:15pt;height:21pt" o:ole="">
            <v:imagedata r:id="rId31" o:title=""/>
          </v:shape>
          <o:OLEObject Type="Embed" ProgID="Equation.3" ShapeID="_x0000_i1064" DrawAspect="Content" ObjectID="_1769426104"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0864A417">
          <v:shape id="_x0000_i1065" type="#_x0000_t75" style="width:11.25pt;height:21pt" o:ole="">
            <v:imagedata r:id="rId46" o:title=""/>
          </v:shape>
          <o:OLEObject Type="Embed" ProgID="Equation.3" ShapeID="_x0000_i1065" DrawAspect="Content" ObjectID="_1769426105" r:id="rId74"/>
        </w:object>
      </w:r>
      <w:r w:rsidRPr="00207827">
        <w:rPr>
          <w:rFonts w:eastAsia="Batang"/>
          <w:color w:val="000000"/>
          <w:szCs w:val="24"/>
        </w:rPr>
        <w:t xml:space="preserve">, где </w:t>
      </w:r>
      <w:r w:rsidRPr="00207827">
        <w:rPr>
          <w:rFonts w:eastAsia="Batang"/>
          <w:color w:val="000000"/>
          <w:szCs w:val="24"/>
        </w:rPr>
        <w:object w:dxaOrig="1040" w:dyaOrig="680" w14:anchorId="17F7C0BA">
          <v:shape id="_x0000_i1066" type="#_x0000_t75" style="width:51pt;height:33pt" o:ole="">
            <v:imagedata r:id="rId75" o:title=""/>
          </v:shape>
          <o:OLEObject Type="Embed" ProgID="Equation.3" ShapeID="_x0000_i1066" DrawAspect="Content" ObjectID="_1769426106"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16A96628">
            <v:shape id="_x0000_i1067" type="#_x0000_t75" style="width:135.75pt;height:66.75pt" o:ole="">
              <v:imagedata r:id="rId77" o:title=""/>
            </v:shape>
            <o:OLEObject Type="Embed" ProgID="Equation.3" ShapeID="_x0000_i1067" DrawAspect="Content" ObjectID="_1769426107"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5.75pt;height:63pt" o:ole="">
                  <v:imagedata r:id="rId79" o:title=""/>
                </v:shape>
                <o:OLEObject Type="Embed" ProgID="Equation.3" ShapeID="_x0000_i1069" DrawAspect="Content" ObjectID="_1769426108"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2D2E176B">
          <v:shape id="_x0000_i1070" type="#_x0000_t75" style="width:11.25pt;height:21pt" o:ole="">
            <v:imagedata r:id="rId43" o:title=""/>
          </v:shape>
          <o:OLEObject Type="Embed" ProgID="Equation.3" ShapeID="_x0000_i1070" DrawAspect="Content" ObjectID="_1769426109" r:id="rId81"/>
        </w:object>
      </w:r>
      <w:r w:rsidRPr="00207827">
        <w:rPr>
          <w:rFonts w:eastAsia="Batang"/>
          <w:color w:val="000000"/>
          <w:szCs w:val="24"/>
        </w:rPr>
        <w:t xml:space="preserve"> и </w:t>
      </w:r>
      <w:r w:rsidRPr="00207827">
        <w:rPr>
          <w:rFonts w:eastAsia="Batang"/>
          <w:color w:val="000000"/>
          <w:szCs w:val="24"/>
        </w:rPr>
        <w:object w:dxaOrig="840" w:dyaOrig="380" w14:anchorId="5C451E8A">
          <v:shape id="_x0000_i1071" type="#_x0000_t75" style="width:44.25pt;height:16.5pt" o:ole="">
            <v:imagedata r:id="rId53" o:title=""/>
          </v:shape>
          <o:OLEObject Type="Embed" ProgID="Equation.3" ShapeID="_x0000_i1071" DrawAspect="Content" ObjectID="_1769426110"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 xml:space="preserve">В случае если указанный пересчет привел к </w:t>
      </w:r>
      <w:r w:rsidR="0038246B">
        <w:rPr>
          <w:rFonts w:eastAsia="Batang"/>
          <w:color w:val="000000"/>
          <w:szCs w:val="24"/>
        </w:rPr>
        <w:t xml:space="preserve">нарушению </w:t>
      </w:r>
      <w:r w:rsidR="008705DE">
        <w:rPr>
          <w:rFonts w:eastAsia="Batang"/>
          <w:color w:val="000000"/>
          <w:szCs w:val="24"/>
        </w:rPr>
        <w:t>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Порядок определения</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6287A"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p>
    <w:p w:rsidR="004D6B6B" w:rsidRDefault="0096287A" w:rsidP="0072342E">
      <w:pPr>
        <w:pStyle w:val="11"/>
        <w:tabs>
          <w:tab w:val="left" w:pos="993"/>
        </w:tabs>
        <w:ind w:left="0"/>
        <w:jc w:val="both"/>
        <w:rPr>
          <w:szCs w:val="24"/>
        </w:rPr>
      </w:pPr>
      <w:r w:rsidRPr="008511A4">
        <w:rPr>
          <w:szCs w:val="24"/>
        </w:rPr>
        <w:t xml:space="preserve">Стоимость имущества, переданного в оплату инвестиционных паев ПИФ, определяется по состоянию </w:t>
      </w:r>
      <w:r w:rsidR="004D6B6B">
        <w:rPr>
          <w:szCs w:val="24"/>
        </w:rPr>
        <w:t xml:space="preserve">на 23:59:59 часов московского времени </w:t>
      </w:r>
      <w:r w:rsidRPr="008511A4">
        <w:rPr>
          <w:szCs w:val="24"/>
        </w:rPr>
        <w:t xml:space="preserve">на дату передачи имущества в оплату инвестиционных паев </w:t>
      </w:r>
      <w:r>
        <w:rPr>
          <w:szCs w:val="24"/>
        </w:rPr>
        <w:t>Фонда</w:t>
      </w:r>
      <w:r w:rsidR="004D6B6B">
        <w:rPr>
          <w:szCs w:val="24"/>
        </w:rPr>
        <w:t>.</w:t>
      </w:r>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432D61" w:rsidRDefault="00432D61">
      <w:pPr>
        <w:rPr>
          <w:rFonts w:ascii="Times New Roman CYR" w:hAnsi="Times New Roman CYR" w:cs="Times New Roman CYR"/>
          <w:b/>
          <w:kern w:val="28"/>
          <w:szCs w:val="24"/>
        </w:rPr>
      </w:pPr>
      <w:bookmarkStart w:id="14" w:name="_Toc66447215"/>
      <w:bookmarkStart w:id="15" w:name="_Toc74043295"/>
      <w:r>
        <w:br w:type="page"/>
      </w:r>
    </w:p>
    <w:p w:rsidR="003830AE" w:rsidRPr="00B602F2" w:rsidRDefault="003830AE" w:rsidP="0072342E">
      <w:pPr>
        <w:pStyle w:val="affb"/>
        <w:jc w:val="left"/>
      </w:pPr>
      <w:r w:rsidRPr="00B602F2">
        <w:lastRenderedPageBreak/>
        <w:t>Приложение 1</w:t>
      </w:r>
      <w:bookmarkStart w:id="16" w:name="Par165"/>
      <w:bookmarkStart w:id="17" w:name="_Toc66447216"/>
      <w:bookmarkEnd w:id="14"/>
      <w:bookmarkEnd w:id="16"/>
      <w:r w:rsidR="007270C4">
        <w:t>.</w:t>
      </w:r>
      <w:r w:rsidR="00AF4497">
        <w:t xml:space="preserve"> </w:t>
      </w:r>
      <w:r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8A7A8D" w:rsidRDefault="003830AE" w:rsidP="0072342E">
            <w:pPr>
              <w:jc w:val="both"/>
              <w:rPr>
                <w:bCs/>
                <w:sz w:val="22"/>
                <w:szCs w:val="22"/>
              </w:rPr>
            </w:pPr>
            <w:r w:rsidRPr="008A7A8D">
              <w:rPr>
                <w:bCs/>
                <w:sz w:val="22"/>
                <w:szCs w:val="22"/>
              </w:rPr>
              <w:t>Денежные средства на счетах и во вкладах, в том числе на транзитных, валютных счетах, открытых на У</w:t>
            </w:r>
            <w:r w:rsidR="000F7731" w:rsidRPr="008A7A8D">
              <w:rPr>
                <w:bCs/>
                <w:sz w:val="22"/>
                <w:szCs w:val="22"/>
              </w:rPr>
              <w:t>правляющую компанию</w:t>
            </w:r>
            <w:r w:rsidRPr="008A7A8D">
              <w:rPr>
                <w:bCs/>
                <w:sz w:val="22"/>
                <w:szCs w:val="22"/>
              </w:rPr>
              <w:t xml:space="preserve"> Д.У. Фонд</w:t>
            </w:r>
            <w:r w:rsidR="000F7731" w:rsidRPr="008A7A8D">
              <w:rPr>
                <w:bCs/>
                <w:sz w:val="22"/>
                <w:szCs w:val="22"/>
              </w:rPr>
              <w:t>а</w:t>
            </w:r>
            <w:r w:rsidR="00E87227" w:rsidRPr="008A7A8D">
              <w:rPr>
                <w:bCs/>
                <w:sz w:val="22"/>
                <w:szCs w:val="22"/>
              </w:rPr>
              <w:t xml:space="preserve"> </w:t>
            </w:r>
          </w:p>
        </w:tc>
        <w:tc>
          <w:tcPr>
            <w:tcW w:w="3360" w:type="dxa"/>
            <w:shd w:val="clear" w:color="auto" w:fill="auto"/>
            <w:vAlign w:val="center"/>
            <w:hideMark/>
          </w:tcPr>
          <w:p w:rsidR="003830AE" w:rsidRPr="008A7A8D" w:rsidRDefault="0076626C" w:rsidP="0072342E">
            <w:pPr>
              <w:pStyle w:val="a5"/>
              <w:spacing w:after="0" w:line="240" w:lineRule="auto"/>
              <w:ind w:left="26"/>
              <w:jc w:val="both"/>
              <w:rPr>
                <w:rFonts w:ascii="Times New Roman" w:eastAsia="Times New Roman" w:hAnsi="Times New Roman"/>
                <w:bCs/>
                <w:lang w:eastAsia="ru-RU"/>
              </w:rPr>
            </w:pPr>
            <w:r w:rsidRPr="008A7A8D">
              <w:rPr>
                <w:rFonts w:ascii="Times New Roman" w:eastAsia="Times New Roman" w:hAnsi="Times New Roman"/>
                <w:bCs/>
                <w:lang w:eastAsia="ru-RU"/>
              </w:rPr>
              <w:t>Д</w:t>
            </w:r>
            <w:r w:rsidR="003830AE" w:rsidRPr="008A7A8D">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8A7A8D">
              <w:rPr>
                <w:rFonts w:ascii="Times New Roman" w:eastAsia="Times New Roman" w:hAnsi="Times New Roman"/>
                <w:bCs/>
                <w:lang w:eastAsia="ru-RU"/>
              </w:rPr>
              <w:t>.</w:t>
            </w:r>
            <w:r w:rsidR="003075A0">
              <w:rPr>
                <w:rFonts w:ascii="Times New Roman" w:eastAsia="Times New Roman" w:hAnsi="Times New Roman"/>
                <w:bCs/>
                <w:lang w:eastAsia="ru-RU"/>
              </w:rPr>
              <w:t xml:space="preserve"> </w:t>
            </w:r>
            <w:r w:rsidR="003075A0" w:rsidRPr="00800856">
              <w:rPr>
                <w:rFonts w:ascii="Times New Roman" w:eastAsia="Times New Roman" w:hAnsi="Times New Roman"/>
                <w:bCs/>
                <w:lang w:eastAsia="ru-RU"/>
              </w:rPr>
              <w:t>Дата переуступки права требования о выплате вклада и начисленных процентах на основании договора.</w:t>
            </w: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E87227" w:rsidRPr="008A7A8D" w:rsidRDefault="00E87227" w:rsidP="0072342E">
            <w:pPr>
              <w:pStyle w:val="a5"/>
              <w:spacing w:after="0" w:line="240" w:lineRule="auto"/>
              <w:ind w:left="26"/>
              <w:jc w:val="both"/>
              <w:rPr>
                <w:rFonts w:ascii="Times New Roman" w:eastAsia="Times New Roman" w:hAnsi="Times New Roman"/>
                <w:bCs/>
                <w:lang w:eastAsia="ru-RU"/>
              </w:rPr>
            </w:pPr>
          </w:p>
          <w:p w:rsidR="003830AE" w:rsidRPr="008A7A8D"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3075A0" w:rsidRDefault="003830AE" w:rsidP="00800856">
            <w:pPr>
              <w:pStyle w:val="a5"/>
              <w:spacing w:after="0" w:line="240" w:lineRule="auto"/>
              <w:ind w:left="0"/>
              <w:jc w:val="both"/>
              <w:rPr>
                <w:bCs/>
              </w:rPr>
            </w:pPr>
            <w:r w:rsidRPr="00800856">
              <w:rPr>
                <w:rFonts w:ascii="Times New Roman" w:hAnsi="Times New Roman"/>
                <w:bCs/>
              </w:rPr>
              <w:t xml:space="preserve">• </w:t>
            </w:r>
            <w:r w:rsidR="00BD356A" w:rsidRPr="00800856">
              <w:rPr>
                <w:rFonts w:ascii="Times New Roman" w:hAnsi="Times New Roman"/>
                <w:bCs/>
              </w:rPr>
              <w:t>дата исполнения кредитной организацией обязательств по возврату вклада / перечислени</w:t>
            </w:r>
            <w:r w:rsidR="007F1DF0" w:rsidRPr="00800856">
              <w:rPr>
                <w:rFonts w:ascii="Times New Roman" w:hAnsi="Times New Roman"/>
                <w:bCs/>
              </w:rPr>
              <w:t>я</w:t>
            </w:r>
            <w:r w:rsidR="00BD356A" w:rsidRPr="00800856">
              <w:rPr>
                <w:rFonts w:ascii="Times New Roman" w:hAnsi="Times New Roman"/>
                <w:bCs/>
              </w:rPr>
              <w:t xml:space="preserve"> денежных средств со счета</w:t>
            </w:r>
            <w:r w:rsidRPr="00800856">
              <w:rPr>
                <w:rFonts w:ascii="Times New Roman" w:hAnsi="Times New Roman"/>
                <w:bCs/>
              </w:rPr>
              <w:t>;</w:t>
            </w:r>
          </w:p>
          <w:p w:rsidR="00B86749" w:rsidRPr="008A7A8D" w:rsidRDefault="008A7A8D" w:rsidP="00E96A1C">
            <w:pPr>
              <w:numPr>
                <w:ilvl w:val="0"/>
                <w:numId w:val="50"/>
              </w:numPr>
              <w:ind w:left="0" w:firstLine="0"/>
              <w:jc w:val="both"/>
              <w:rPr>
                <w:bCs/>
                <w:sz w:val="22"/>
                <w:szCs w:val="22"/>
              </w:rPr>
            </w:pPr>
            <w:r>
              <w:rPr>
                <w:bCs/>
                <w:sz w:val="22"/>
                <w:szCs w:val="22"/>
              </w:rPr>
              <w:t>д</w:t>
            </w:r>
            <w:r w:rsidR="00B86749" w:rsidRPr="008A7A8D">
              <w:rPr>
                <w:bCs/>
                <w:sz w:val="22"/>
                <w:szCs w:val="22"/>
              </w:rPr>
              <w:t>ата фактической переуступки права требования о выплате вклада и начисленных процентах на основании договора;</w:t>
            </w:r>
          </w:p>
          <w:p w:rsidR="00E87227" w:rsidRPr="00263168" w:rsidRDefault="004E3191" w:rsidP="00E96A1C">
            <w:pPr>
              <w:pStyle w:val="a5"/>
              <w:numPr>
                <w:ilvl w:val="1"/>
                <w:numId w:val="50"/>
              </w:numPr>
              <w:spacing w:after="0" w:line="240" w:lineRule="auto"/>
              <w:ind w:left="0" w:firstLine="0"/>
              <w:jc w:val="both"/>
              <w:rPr>
                <w:rFonts w:ascii="Times New Roman" w:eastAsia="Times New Roman" w:hAnsi="Times New Roman"/>
                <w:bCs/>
                <w:lang w:eastAsia="ru-RU"/>
              </w:rPr>
            </w:pPr>
            <w:r w:rsidRPr="009614D9">
              <w:rPr>
                <w:rFonts w:ascii="Times New Roman" w:hAnsi="Times New Roman"/>
              </w:rPr>
              <w:t>дата решения Банка России об отзыве лицензии банка, (денежные средства переходят в статус дебиторской задолженности);</w:t>
            </w:r>
            <w:r w:rsidRPr="00BC4000">
              <w:rPr>
                <w:rFonts w:ascii="Times New Roman" w:hAnsi="Times New Roman"/>
              </w:rPr>
              <w:br/>
            </w:r>
            <w:r w:rsidR="003830AE" w:rsidRPr="00800856">
              <w:rPr>
                <w:rFonts w:ascii="Times New Roman" w:hAnsi="Times New Roman"/>
                <w:bCs/>
              </w:rPr>
              <w:br/>
              <w:t xml:space="preserve">• дата </w:t>
            </w:r>
            <w:r w:rsidR="003075A0">
              <w:rPr>
                <w:rFonts w:ascii="Times New Roman" w:hAnsi="Times New Roman"/>
                <w:bCs/>
              </w:rPr>
              <w:t xml:space="preserve"> </w:t>
            </w:r>
            <w:r w:rsidR="003830AE" w:rsidRPr="00800856">
              <w:rPr>
                <w:rFonts w:ascii="Times New Roman" w:hAnsi="Times New Roman"/>
                <w:bCs/>
              </w:rPr>
              <w:t>ликвидации банка согласно информации, раскрытой в официальном доступном источнике</w:t>
            </w:r>
            <w:r w:rsidR="003075A0">
              <w:rPr>
                <w:rFonts w:ascii="Times New Roman" w:eastAsia="Times New Roman" w:hAnsi="Times New Roman"/>
                <w:bCs/>
                <w:lang w:eastAsia="ru-RU"/>
              </w:rPr>
              <w:t xml:space="preserve">( в том числе </w:t>
            </w:r>
            <w:r w:rsidR="003830AE" w:rsidRPr="003075A0">
              <w:rPr>
                <w:rFonts w:ascii="Times New Roman" w:eastAsia="Times New Roman" w:hAnsi="Times New Roman"/>
                <w:bCs/>
                <w:lang w:eastAsia="ru-RU"/>
              </w:rPr>
              <w:t>дата внесения записи в ЕГРЮЛ о ликвидации банка</w:t>
            </w:r>
            <w:r w:rsidR="003075A0">
              <w:rPr>
                <w:rFonts w:ascii="Times New Roman" w:eastAsia="Times New Roman" w:hAnsi="Times New Roman"/>
                <w:bCs/>
                <w:lang w:eastAsia="ru-RU"/>
              </w:rPr>
              <w:t>)</w:t>
            </w:r>
            <w:r w:rsidR="00552908" w:rsidRPr="003075A0">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E96A1C">
            <w:pPr>
              <w:numPr>
                <w:ilvl w:val="0"/>
                <w:numId w:val="12"/>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E96A1C">
            <w:pPr>
              <w:numPr>
                <w:ilvl w:val="0"/>
                <w:numId w:val="12"/>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263168" w:rsidRDefault="00ED2D53" w:rsidP="00E96A1C">
            <w:pPr>
              <w:numPr>
                <w:ilvl w:val="0"/>
                <w:numId w:val="12"/>
              </w:numPr>
              <w:ind w:left="134" w:hanging="19"/>
              <w:jc w:val="both"/>
              <w:rPr>
                <w:bCs/>
                <w:sz w:val="22"/>
                <w:szCs w:val="22"/>
              </w:rPr>
            </w:pPr>
            <w:r w:rsidRPr="006D7089">
              <w:rPr>
                <w:bCs/>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rsidR="003830AE" w:rsidRPr="006D7089" w:rsidRDefault="003830AE" w:rsidP="00E96A1C">
            <w:pPr>
              <w:numPr>
                <w:ilvl w:val="0"/>
                <w:numId w:val="12"/>
              </w:numPr>
              <w:ind w:left="134" w:hanging="19"/>
              <w:jc w:val="both"/>
              <w:rPr>
                <w:bCs/>
                <w:sz w:val="22"/>
                <w:szCs w:val="22"/>
              </w:rPr>
            </w:pPr>
            <w:r w:rsidRPr="006D7089">
              <w:rPr>
                <w:bCs/>
                <w:sz w:val="22"/>
                <w:szCs w:val="22"/>
              </w:rPr>
              <w:br/>
            </w:r>
          </w:p>
        </w:tc>
        <w:tc>
          <w:tcPr>
            <w:tcW w:w="3544" w:type="dxa"/>
            <w:shd w:val="clear" w:color="auto" w:fill="auto"/>
            <w:vAlign w:val="center"/>
            <w:hideMark/>
          </w:tcPr>
          <w:p w:rsidR="008705DE" w:rsidRDefault="003830AE" w:rsidP="009A443F">
            <w:pPr>
              <w:ind w:left="175"/>
              <w:jc w:val="both"/>
              <w:rPr>
                <w:bCs/>
                <w:sz w:val="22"/>
                <w:szCs w:val="22"/>
              </w:rPr>
            </w:pPr>
            <w:r w:rsidRPr="006D7089">
              <w:rPr>
                <w:bCs/>
                <w:sz w:val="22"/>
                <w:szCs w:val="22"/>
              </w:rPr>
              <w:t>Дата перехода прав собственности на ценные бумаги:</w:t>
            </w:r>
          </w:p>
          <w:p w:rsidR="00FB6BD7" w:rsidRPr="00800856" w:rsidRDefault="003830AE" w:rsidP="00E96A1C">
            <w:pPr>
              <w:pStyle w:val="a5"/>
              <w:numPr>
                <w:ilvl w:val="0"/>
                <w:numId w:val="12"/>
              </w:numPr>
              <w:spacing w:after="0" w:line="240" w:lineRule="auto"/>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E96A1C">
            <w:pPr>
              <w:numPr>
                <w:ilvl w:val="0"/>
                <w:numId w:val="12"/>
              </w:numPr>
              <w:ind w:left="34" w:firstLine="141"/>
              <w:jc w:val="both"/>
              <w:rPr>
                <w:bCs/>
                <w:sz w:val="22"/>
                <w:szCs w:val="22"/>
              </w:rPr>
            </w:pPr>
            <w:r w:rsidRPr="006D7089">
              <w:rPr>
                <w:bCs/>
                <w:sz w:val="22"/>
                <w:szCs w:val="22"/>
              </w:rPr>
              <w:t>если документарные ценные бумаги не подлежат учету на счетах депо (за исключением депозитных сертификатов) - дат</w:t>
            </w:r>
            <w:r w:rsidR="00263168">
              <w:rPr>
                <w:bCs/>
                <w:sz w:val="22"/>
                <w:szCs w:val="22"/>
              </w:rPr>
              <w:t>а</w:t>
            </w:r>
            <w:r w:rsidRPr="006D7089">
              <w:rPr>
                <w:bCs/>
                <w:sz w:val="22"/>
                <w:szCs w:val="22"/>
              </w:rPr>
              <w:t xml:space="preserve">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4E3191" w:rsidRPr="009614D9" w:rsidRDefault="004E3191" w:rsidP="009614D9">
            <w:pPr>
              <w:numPr>
                <w:ilvl w:val="0"/>
                <w:numId w:val="12"/>
              </w:numPr>
              <w:ind w:left="134" w:hanging="19"/>
              <w:jc w:val="both"/>
              <w:rPr>
                <w:bCs/>
                <w:sz w:val="22"/>
                <w:szCs w:val="22"/>
              </w:rPr>
            </w:pPr>
            <w:r w:rsidRPr="009614D9">
              <w:rPr>
                <w:bCs/>
                <w:sz w:val="22"/>
                <w:szCs w:val="22"/>
              </w:rPr>
              <w:t>Если по эмитенту ценных бумаг внесена в ЕГРЮЛ о ликвидации - дата записи о ликвидации эмитента (получения информации о ликвидации эмитента).</w:t>
            </w:r>
          </w:p>
          <w:p w:rsidR="00F25076" w:rsidRPr="006D7089" w:rsidRDefault="00F25076" w:rsidP="00800856">
            <w:pPr>
              <w:ind w:left="175"/>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800856" w:rsidRDefault="00ED2D53" w:rsidP="00E96A1C">
            <w:pPr>
              <w:numPr>
                <w:ilvl w:val="0"/>
                <w:numId w:val="12"/>
              </w:numPr>
              <w:ind w:left="34" w:firstLine="141"/>
              <w:jc w:val="both"/>
              <w:rPr>
                <w:bCs/>
                <w:sz w:val="22"/>
                <w:szCs w:val="22"/>
              </w:rPr>
            </w:pPr>
            <w:r w:rsidRPr="00800856">
              <w:rPr>
                <w:bCs/>
                <w:sz w:val="22"/>
                <w:szCs w:val="22"/>
              </w:rPr>
              <w:t>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263168" w:rsidRPr="006D7089" w:rsidRDefault="00F25076" w:rsidP="00E96A1C">
            <w:pPr>
              <w:numPr>
                <w:ilvl w:val="0"/>
                <w:numId w:val="12"/>
              </w:numPr>
              <w:ind w:left="34" w:firstLine="141"/>
              <w:jc w:val="both"/>
              <w:rPr>
                <w:bCs/>
                <w:sz w:val="22"/>
                <w:szCs w:val="22"/>
              </w:rPr>
            </w:pPr>
            <w:r w:rsidRPr="006D7089">
              <w:rPr>
                <w:bCs/>
                <w:sz w:val="22"/>
                <w:szCs w:val="22"/>
              </w:rPr>
              <w:t xml:space="preserve"> </w:t>
            </w:r>
            <w:r w:rsidR="00263168" w:rsidRPr="006D7089">
              <w:rPr>
                <w:bCs/>
                <w:sz w:val="22"/>
                <w:szCs w:val="22"/>
              </w:rPr>
              <w:t>дат</w:t>
            </w:r>
            <w:r w:rsidR="00263168">
              <w:rPr>
                <w:bCs/>
                <w:sz w:val="22"/>
                <w:szCs w:val="22"/>
              </w:rPr>
              <w:t>а</w:t>
            </w:r>
            <w:r w:rsidR="00263168" w:rsidRPr="006D7089">
              <w:rPr>
                <w:bCs/>
                <w:sz w:val="22"/>
                <w:szCs w:val="22"/>
              </w:rPr>
              <w:t xml:space="preserve"> </w:t>
            </w:r>
            <w:r w:rsidR="00263168">
              <w:rPr>
                <w:bCs/>
                <w:sz w:val="22"/>
                <w:szCs w:val="22"/>
              </w:rPr>
              <w:t xml:space="preserve">записи </w:t>
            </w:r>
            <w:r w:rsidR="00263168" w:rsidRPr="006D7089">
              <w:rPr>
                <w:bCs/>
                <w:sz w:val="22"/>
                <w:szCs w:val="22"/>
              </w:rPr>
              <w:t xml:space="preserve"> о ликвидации эмитента (</w:t>
            </w:r>
            <w:r w:rsidR="00263168">
              <w:rPr>
                <w:bCs/>
                <w:sz w:val="22"/>
                <w:szCs w:val="22"/>
              </w:rPr>
              <w:t>получения информации о ликвидации эмитен</w:t>
            </w:r>
            <w:r w:rsidR="00DB7AC2">
              <w:rPr>
                <w:bCs/>
                <w:sz w:val="22"/>
                <w:szCs w:val="22"/>
              </w:rPr>
              <w:t>т</w:t>
            </w:r>
            <w:r w:rsidR="00263168">
              <w:rPr>
                <w:bCs/>
                <w:sz w:val="22"/>
                <w:szCs w:val="22"/>
              </w:rPr>
              <w:t>а)</w:t>
            </w:r>
            <w:r w:rsidR="00263168" w:rsidRPr="006D7089">
              <w:rPr>
                <w:bCs/>
                <w:sz w:val="22"/>
                <w:szCs w:val="22"/>
              </w:rPr>
              <w:t>.</w:t>
            </w:r>
          </w:p>
          <w:p w:rsidR="00ED2D53" w:rsidRPr="006D7089" w:rsidRDefault="00ED2D53" w:rsidP="009A443F">
            <w:pPr>
              <w:ind w:left="175"/>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263168">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r w:rsidR="008A7A8D">
              <w:rPr>
                <w:bCs/>
                <w:sz w:val="22"/>
                <w:szCs w:val="22"/>
              </w:rPr>
              <w:t>.</w:t>
            </w:r>
          </w:p>
          <w:p w:rsidR="004E45B5" w:rsidRPr="006D7089" w:rsidRDefault="004E45B5" w:rsidP="009A443F">
            <w:pPr>
              <w:ind w:left="175"/>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списания с металлического счета драгоценных металлов в   соответствии с условиями договора;</w:t>
            </w:r>
          </w:p>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решения Банка России об отзыве лицензии банка (денежные средства переходят в статус прочей дебиторской задолженности);</w:t>
            </w:r>
          </w:p>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800856" w:rsidRDefault="00046022" w:rsidP="00E96A1C">
            <w:pPr>
              <w:pStyle w:val="a5"/>
              <w:numPr>
                <w:ilvl w:val="0"/>
                <w:numId w:val="12"/>
              </w:numPr>
              <w:ind w:left="34" w:firstLine="141"/>
              <w:jc w:val="both"/>
              <w:rPr>
                <w:rFonts w:ascii="Times New Roman" w:eastAsia="Times New Roman" w:hAnsi="Times New Roman"/>
                <w:bCs/>
                <w:lang w:eastAsia="ru-RU"/>
              </w:rPr>
            </w:pPr>
            <w:r w:rsidRPr="00263168">
              <w:rPr>
                <w:rFonts w:ascii="Times New Roman" w:eastAsia="Times New Roman" w:hAnsi="Times New Roman"/>
                <w:bCs/>
                <w:lang w:eastAsia="ru-RU"/>
              </w:rPr>
              <w:t>В случае исполнения контракта</w:t>
            </w:r>
            <w:r w:rsidR="008A7A8D" w:rsidRPr="00800856">
              <w:rPr>
                <w:rFonts w:ascii="Times New Roman" w:eastAsia="Times New Roman" w:hAnsi="Times New Roman"/>
                <w:bCs/>
                <w:lang w:eastAsia="ru-RU"/>
              </w:rPr>
              <w:t>.</w:t>
            </w:r>
          </w:p>
          <w:p w:rsidR="00046022" w:rsidRPr="00800856" w:rsidRDefault="00046022"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В результате возникновения встречных обязательств по контракту с такой же спецификацией, т.е. заключение офсетной сделки</w:t>
            </w:r>
            <w:r w:rsidR="008A7A8D" w:rsidRPr="00800856">
              <w:rPr>
                <w:rFonts w:ascii="Times New Roman" w:eastAsia="Times New Roman" w:hAnsi="Times New Roman"/>
                <w:bCs/>
                <w:lang w:eastAsia="ru-RU"/>
              </w:rPr>
              <w:t>.</w:t>
            </w:r>
          </w:p>
          <w:p w:rsidR="00FB6BD7" w:rsidRPr="00800856" w:rsidRDefault="00046022"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дата погашения процентного (купонного) дохода на основании решения о выпуске</w:t>
            </w:r>
            <w:r w:rsidR="0038246B">
              <w:rPr>
                <w:rFonts w:eastAsia="Batang"/>
                <w:color w:val="000000"/>
                <w:sz w:val="22"/>
                <w:szCs w:val="22"/>
              </w:rPr>
              <w:t>.</w:t>
            </w:r>
            <w:r w:rsidR="0038246B" w:rsidRPr="006D7089">
              <w:rPr>
                <w:rFonts w:eastAsia="Batang"/>
                <w:color w:val="000000"/>
                <w:sz w:val="22"/>
                <w:szCs w:val="22"/>
              </w:rPr>
              <w:t xml:space="preserve">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800856" w:rsidRDefault="004E45B5" w:rsidP="00E96A1C">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фактического исполнения  соответствующего обязательства, подтвержденная банковской выпиской  или отчетом брокера</w:t>
            </w:r>
            <w:r w:rsidR="0038246B" w:rsidRPr="00800856">
              <w:rPr>
                <w:rFonts w:ascii="Times New Roman" w:eastAsia="Times New Roman" w:hAnsi="Times New Roman"/>
                <w:bCs/>
                <w:lang w:eastAsia="ru-RU"/>
              </w:rPr>
              <w:t>.</w:t>
            </w:r>
            <w:r w:rsidRPr="00800856">
              <w:rPr>
                <w:rFonts w:ascii="Times New Roman" w:eastAsia="Times New Roman" w:hAnsi="Times New Roman"/>
                <w:bCs/>
                <w:lang w:eastAsia="ru-RU"/>
              </w:rPr>
              <w:t xml:space="preserve"> </w:t>
            </w:r>
          </w:p>
          <w:p w:rsidR="004E45B5" w:rsidRPr="006D7089" w:rsidRDefault="004E45B5" w:rsidP="00800856">
            <w:pPr>
              <w:ind w:left="175"/>
              <w:jc w:val="both"/>
              <w:rPr>
                <w:bCs/>
                <w:sz w:val="22"/>
                <w:szCs w:val="22"/>
              </w:rPr>
            </w:pPr>
          </w:p>
          <w:p w:rsidR="004E45B5" w:rsidRPr="006D7089" w:rsidRDefault="004E45B5" w:rsidP="00E96A1C">
            <w:pPr>
              <w:numPr>
                <w:ilvl w:val="0"/>
                <w:numId w:val="12"/>
              </w:numPr>
              <w:ind w:left="34" w:firstLine="141"/>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4E3191" w:rsidRPr="009614D9" w:rsidTr="002C1C85">
        <w:trPr>
          <w:trHeight w:val="1299"/>
        </w:trPr>
        <w:tc>
          <w:tcPr>
            <w:tcW w:w="2594" w:type="dxa"/>
            <w:shd w:val="clear" w:color="auto" w:fill="auto"/>
            <w:vAlign w:val="center"/>
            <w:hideMark/>
          </w:tcPr>
          <w:p w:rsidR="004E3191" w:rsidRPr="009614D9" w:rsidRDefault="004E3191" w:rsidP="002C1C85">
            <w:pPr>
              <w:rPr>
                <w:bCs/>
                <w:sz w:val="22"/>
                <w:szCs w:val="22"/>
              </w:rPr>
            </w:pPr>
            <w:r w:rsidRPr="009614D9">
              <w:rPr>
                <w:bCs/>
                <w:sz w:val="22"/>
                <w:szCs w:val="22"/>
              </w:rPr>
              <w:t>Дебиторская задолженность по выплате  купонов, по ценным бумагам, полученных по сделкам обратного РЕПО  и кредиторская задолженность по возврату купонов</w:t>
            </w:r>
          </w:p>
        </w:tc>
        <w:tc>
          <w:tcPr>
            <w:tcW w:w="3360" w:type="dxa"/>
            <w:shd w:val="clear" w:color="auto" w:fill="auto"/>
            <w:vAlign w:val="center"/>
            <w:hideMark/>
          </w:tcPr>
          <w:p w:rsidR="004E3191" w:rsidRPr="009614D9" w:rsidRDefault="004E3191" w:rsidP="002C1C85">
            <w:pPr>
              <w:jc w:val="both"/>
              <w:rPr>
                <w:bCs/>
                <w:sz w:val="22"/>
                <w:szCs w:val="22"/>
              </w:rPr>
            </w:pPr>
            <w:r w:rsidRPr="009614D9">
              <w:rPr>
                <w:bCs/>
                <w:sz w:val="22"/>
                <w:szCs w:val="22"/>
              </w:rPr>
              <w:t xml:space="preserve">Датой признания дебиторской задолженности по процентному (купонному) доходу по долговым ценным бумагам, полученным по сделкам обратного РЕПО является: </w:t>
            </w:r>
          </w:p>
          <w:p w:rsidR="004E3191" w:rsidRPr="009614D9" w:rsidRDefault="004E3191" w:rsidP="002C1C85">
            <w:pPr>
              <w:jc w:val="both"/>
              <w:rPr>
                <w:bCs/>
                <w:sz w:val="22"/>
                <w:szCs w:val="22"/>
              </w:rPr>
            </w:pPr>
            <w:r w:rsidRPr="009614D9">
              <w:rPr>
                <w:bCs/>
                <w:sz w:val="22"/>
                <w:szCs w:val="22"/>
              </w:rPr>
              <w:t>• дата списания денежных средств с брокерского счета/расчетного счета (возврат купона контрагенту по сделке РЕПО);</w:t>
            </w:r>
          </w:p>
          <w:p w:rsidR="004E3191" w:rsidRPr="009614D9" w:rsidRDefault="004E3191" w:rsidP="002C1C85">
            <w:pPr>
              <w:jc w:val="both"/>
              <w:rPr>
                <w:bCs/>
                <w:sz w:val="22"/>
                <w:szCs w:val="22"/>
              </w:rPr>
            </w:pPr>
            <w:r w:rsidRPr="009614D9">
              <w:rPr>
                <w:bCs/>
                <w:sz w:val="22"/>
                <w:szCs w:val="22"/>
              </w:rPr>
              <w:t xml:space="preserve">Датой признания кредиторской  задолженности по процентному (купонному) доходу, полученных по сделкам обратного РЕПО является: </w:t>
            </w:r>
          </w:p>
          <w:p w:rsidR="004E3191" w:rsidRPr="009614D9" w:rsidRDefault="004E3191" w:rsidP="002C1C85">
            <w:pPr>
              <w:jc w:val="both"/>
              <w:rPr>
                <w:bCs/>
                <w:sz w:val="22"/>
                <w:szCs w:val="22"/>
              </w:rPr>
            </w:pPr>
            <w:r w:rsidRPr="009614D9">
              <w:rPr>
                <w:bCs/>
                <w:sz w:val="22"/>
                <w:szCs w:val="22"/>
              </w:rPr>
              <w:t xml:space="preserve">• дата фактического исполнения  соответствующего обязательства </w:t>
            </w:r>
          </w:p>
          <w:p w:rsidR="004E3191" w:rsidRPr="009614D9" w:rsidRDefault="004E3191" w:rsidP="002C1C85">
            <w:pPr>
              <w:jc w:val="both"/>
              <w:rPr>
                <w:bCs/>
                <w:sz w:val="22"/>
                <w:szCs w:val="22"/>
              </w:rPr>
            </w:pPr>
            <w:r w:rsidRPr="009614D9">
              <w:rPr>
                <w:bCs/>
                <w:sz w:val="22"/>
                <w:szCs w:val="22"/>
              </w:rPr>
              <w:t xml:space="preserve">подтвержденная банковской выпиской  или отчетом брокера; </w:t>
            </w:r>
          </w:p>
          <w:p w:rsidR="004E3191" w:rsidRPr="009614D9" w:rsidRDefault="004E3191" w:rsidP="002C1C85">
            <w:pPr>
              <w:jc w:val="both"/>
              <w:rPr>
                <w:bCs/>
                <w:sz w:val="22"/>
                <w:szCs w:val="22"/>
              </w:rPr>
            </w:pPr>
          </w:p>
        </w:tc>
        <w:tc>
          <w:tcPr>
            <w:tcW w:w="3544" w:type="dxa"/>
            <w:shd w:val="clear" w:color="auto" w:fill="auto"/>
            <w:vAlign w:val="center"/>
            <w:hideMark/>
          </w:tcPr>
          <w:p w:rsidR="004E3191" w:rsidRPr="00625D75" w:rsidRDefault="004E3191" w:rsidP="004E3191">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фактического исполнения  соответствующего обязательства, подтвержденная банковской выпиской  или отчетом брокера; </w:t>
            </w:r>
          </w:p>
          <w:p w:rsidR="004E3191" w:rsidRPr="009614D9" w:rsidRDefault="004E3191" w:rsidP="002C1C85">
            <w:pPr>
              <w:jc w:val="both"/>
              <w:rPr>
                <w:bCs/>
                <w:sz w:val="22"/>
                <w:szCs w:val="22"/>
              </w:rPr>
            </w:pPr>
          </w:p>
          <w:p w:rsidR="004E3191" w:rsidRPr="00625D75" w:rsidRDefault="004E3191" w:rsidP="004E3191">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списания денежных средств с брокерского счета/расчетного счета </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w:t>
            </w:r>
            <w:r w:rsidR="004E3191" w:rsidRPr="009614D9">
              <w:rPr>
                <w:bCs/>
                <w:sz w:val="22"/>
                <w:szCs w:val="22"/>
              </w:rPr>
              <w:t xml:space="preserve"> или дохода по депозитарным распискам российских эмитентов</w:t>
            </w:r>
            <w:r w:rsidRPr="006D7089">
              <w:rPr>
                <w:bCs/>
                <w:sz w:val="22"/>
                <w:szCs w:val="22"/>
              </w:rPr>
              <w:t xml:space="preserve">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xml:space="preserve">• дата, на которую определяются лица, имеющие право на получение дивидендов (дата фиксации), в соответствии с информацией НКО АО </w:t>
            </w:r>
            <w:r w:rsidR="00211EC9" w:rsidRPr="006D7089">
              <w:rPr>
                <w:bCs/>
                <w:sz w:val="22"/>
                <w:szCs w:val="22"/>
              </w:rPr>
              <w:t>НРД</w:t>
            </w:r>
            <w:r w:rsidR="00211EC9">
              <w:t xml:space="preserve">, информационных агентств, </w:t>
            </w:r>
            <w:r w:rsidR="00211EC9" w:rsidRPr="006D7089">
              <w:rPr>
                <w:bCs/>
                <w:sz w:val="22"/>
                <w:szCs w:val="22"/>
              </w:rPr>
              <w:t>официальных сайтов эмитентов</w:t>
            </w:r>
            <w:r w:rsidR="00211EC9" w:rsidRPr="006D7089" w:rsidDel="00211EC9">
              <w:rPr>
                <w:bCs/>
                <w:sz w:val="22"/>
                <w:szCs w:val="22"/>
              </w:rPr>
              <w:t xml:space="preserve"> </w:t>
            </w:r>
            <w:r w:rsidR="00211EC9">
              <w:rPr>
                <w:bCs/>
                <w:sz w:val="22"/>
                <w:szCs w:val="22"/>
              </w:rPr>
              <w:t xml:space="preserve"> или иных доступных источников.</w:t>
            </w:r>
            <w:r w:rsidRPr="006D7089">
              <w:rPr>
                <w:bCs/>
                <w:sz w:val="22"/>
                <w:szCs w:val="22"/>
              </w:rPr>
              <w:t xml:space="preserve"> В отсутствии информации НКО АО НРД, </w:t>
            </w:r>
            <w:r w:rsidR="00211EC9">
              <w:t xml:space="preserve">информационных агентств, </w:t>
            </w:r>
            <w:r w:rsidR="00211EC9" w:rsidRPr="006D7089">
              <w:rPr>
                <w:bCs/>
                <w:sz w:val="22"/>
                <w:szCs w:val="22"/>
              </w:rPr>
              <w:t>официальных сайтов эмитентов</w:t>
            </w:r>
            <w:r w:rsidR="00211EC9" w:rsidRPr="006D7089" w:rsidDel="00211EC9">
              <w:rPr>
                <w:bCs/>
                <w:sz w:val="22"/>
                <w:szCs w:val="22"/>
              </w:rPr>
              <w:t xml:space="preserve"> </w:t>
            </w:r>
            <w:r w:rsidR="00211EC9">
              <w:rPr>
                <w:bCs/>
                <w:sz w:val="22"/>
                <w:szCs w:val="22"/>
              </w:rPr>
              <w:t xml:space="preserve"> или иных доступных источников</w:t>
            </w:r>
            <w:r w:rsidRPr="006D7089">
              <w:rPr>
                <w:bCs/>
                <w:sz w:val="22"/>
                <w:szCs w:val="22"/>
              </w:rPr>
              <w:t>,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xml:space="preserve">• дата зачисления денежных средств на расчетный счет </w:t>
            </w:r>
            <w:r w:rsidRPr="009614D9">
              <w:rPr>
                <w:bCs/>
                <w:sz w:val="22"/>
                <w:szCs w:val="22"/>
              </w:rPr>
              <w:t>Фонда</w:t>
            </w:r>
            <w:r w:rsidR="004E3191" w:rsidRPr="009614D9">
              <w:rPr>
                <w:bCs/>
                <w:sz w:val="22"/>
                <w:szCs w:val="22"/>
              </w:rPr>
              <w:t>,</w:t>
            </w:r>
            <w:r w:rsidR="004E3191" w:rsidRPr="009614D9">
              <w:rPr>
                <w:bCs/>
              </w:rPr>
              <w:t xml:space="preserve"> </w:t>
            </w:r>
            <w:r w:rsidR="004E3191" w:rsidRPr="009614D9">
              <w:rPr>
                <w:bCs/>
                <w:sz w:val="22"/>
                <w:szCs w:val="22"/>
              </w:rPr>
              <w:t>в том числе брокерский счет.</w:t>
            </w:r>
            <w:r w:rsidRPr="006D7089">
              <w:rPr>
                <w:bCs/>
                <w:sz w:val="22"/>
                <w:szCs w:val="22"/>
              </w:rPr>
              <w:t>.</w:t>
            </w:r>
          </w:p>
        </w:tc>
        <w:tc>
          <w:tcPr>
            <w:tcW w:w="3544" w:type="dxa"/>
            <w:shd w:val="clear" w:color="auto" w:fill="auto"/>
            <w:vAlign w:val="bottom"/>
            <w:hideMark/>
          </w:tcPr>
          <w:p w:rsidR="00F25076" w:rsidRPr="006D7089" w:rsidRDefault="00F25076" w:rsidP="008A7A8D">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008A7A8D">
              <w:rPr>
                <w:bCs/>
                <w:sz w:val="22"/>
                <w:szCs w:val="22"/>
              </w:rPr>
              <w:t>.</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w:t>
            </w:r>
            <w:r w:rsidR="00B638A9">
              <w:rPr>
                <w:bCs/>
                <w:sz w:val="22"/>
                <w:szCs w:val="22"/>
              </w:rPr>
              <w:t xml:space="preserve">информационной системы </w:t>
            </w:r>
            <w:r w:rsidR="00B638A9">
              <w:rPr>
                <w:bCs/>
                <w:sz w:val="22"/>
                <w:szCs w:val="22"/>
                <w:lang w:val="en-US"/>
              </w:rPr>
              <w:t>C</w:t>
            </w:r>
            <w:r w:rsidR="00B638A9" w:rsidRPr="00B638A9">
              <w:rPr>
                <w:bCs/>
                <w:sz w:val="22"/>
                <w:szCs w:val="22"/>
              </w:rPr>
              <w:t>bonds</w:t>
            </w:r>
            <w:r w:rsidR="00653F3B" w:rsidRPr="006D7089">
              <w:rPr>
                <w:bCs/>
                <w:sz w:val="22"/>
                <w:szCs w:val="22"/>
              </w:rPr>
              <w:t xml:space="preserve">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625D75" w:rsidP="0072342E">
            <w:pPr>
              <w:jc w:val="both"/>
              <w:rPr>
                <w:bCs/>
                <w:sz w:val="22"/>
                <w:szCs w:val="22"/>
              </w:rPr>
            </w:pPr>
            <w:r w:rsidRPr="009614D9">
              <w:rPr>
                <w:bCs/>
                <w:sz w:val="22"/>
                <w:szCs w:val="22"/>
              </w:rPr>
              <w:t xml:space="preserve">Дата исполнения  </w:t>
            </w:r>
            <w:r w:rsidR="004E3191" w:rsidRPr="009614D9">
              <w:rPr>
                <w:bCs/>
                <w:sz w:val="22"/>
                <w:szCs w:val="22"/>
              </w:rPr>
              <w:t>управляющей компанией обязательств по выплате дохода по инвестиционным паям ПИФ и паям (акциям) иностранных инвестиционных фондов, которые входят в состав имущества ПИФ</w:t>
            </w:r>
            <w:r w:rsidR="008A7A8D">
              <w:rPr>
                <w:bCs/>
                <w:sz w:val="22"/>
                <w:szCs w:val="22"/>
              </w:rPr>
              <w:t>.</w:t>
            </w:r>
          </w:p>
          <w:p w:rsidR="00F25076" w:rsidRPr="006D7089" w:rsidRDefault="00F25076" w:rsidP="008A7A8D">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r w:rsidR="008A7A8D">
              <w:rPr>
                <w:rFonts w:ascii="Times New Roman" w:eastAsia="Times New Roman" w:hAnsi="Times New Roman"/>
                <w:bCs/>
                <w:lang w:eastAsia="ru-RU"/>
              </w:rPr>
              <w:t>.</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r w:rsidR="008A7A8D" w:rsidRPr="006D7089">
              <w:rPr>
                <w:rFonts w:ascii="Times New Roman" w:eastAsia="Times New Roman" w:hAnsi="Times New Roman"/>
                <w:bCs/>
                <w:lang w:eastAsia="ru-RU"/>
              </w:rPr>
              <w:t>)</w:t>
            </w:r>
            <w:r w:rsidR="008A7A8D">
              <w:rPr>
                <w:rFonts w:ascii="Times New Roman" w:eastAsia="Times New Roman" w:hAnsi="Times New Roman"/>
                <w:bCs/>
                <w:lang w:eastAsia="ru-RU"/>
              </w:rPr>
              <w:t>.</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703307" w:rsidRDefault="00046022" w:rsidP="009A443F">
            <w:pPr>
              <w:pStyle w:val="a5"/>
              <w:numPr>
                <w:ilvl w:val="0"/>
                <w:numId w:val="92"/>
              </w:numPr>
              <w:ind w:left="0" w:firstLine="0"/>
              <w:rPr>
                <w:bCs/>
              </w:rPr>
            </w:pPr>
            <w:r w:rsidRPr="009A443F">
              <w:rPr>
                <w:rFonts w:ascii="Times New Roman" w:hAnsi="Times New Roman"/>
                <w:bCs/>
              </w:rPr>
              <w:t>- Дата исполнения обязательств перед ПИФ, согласно договору;</w:t>
            </w:r>
          </w:p>
          <w:p w:rsidR="00046022" w:rsidRPr="00DB7AC2" w:rsidRDefault="00046022" w:rsidP="009A443F">
            <w:pPr>
              <w:pStyle w:val="a5"/>
              <w:numPr>
                <w:ilvl w:val="0"/>
                <w:numId w:val="92"/>
              </w:numPr>
              <w:ind w:left="0" w:firstLine="0"/>
              <w:rPr>
                <w:bCs/>
              </w:rPr>
            </w:pPr>
            <w:r w:rsidRPr="009A443F">
              <w:rPr>
                <w:rFonts w:ascii="Times New Roman" w:hAnsi="Times New Roman"/>
                <w:bCs/>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r w:rsidR="008A7A8D">
              <w:rPr>
                <w:bCs/>
                <w:sz w:val="22"/>
                <w:szCs w:val="22"/>
              </w:rPr>
              <w:t>.</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2542AB">
            <w:pPr>
              <w:rPr>
                <w:bCs/>
                <w:szCs w:val="24"/>
              </w:rPr>
            </w:pPr>
            <w:r w:rsidRPr="009A443F">
              <w:rPr>
                <w:bCs/>
                <w:sz w:val="22"/>
                <w:szCs w:val="22"/>
              </w:rPr>
              <w:t xml:space="preserve">Дата  заключения  договора </w:t>
            </w:r>
            <w:r w:rsidR="00A7121E" w:rsidRPr="009A443F">
              <w:rPr>
                <w:bCs/>
                <w:sz w:val="22"/>
                <w:szCs w:val="22"/>
              </w:rPr>
              <w:t xml:space="preserve"> по приобретению(реализации) ценных бумаг и покупке/продаже валюты</w:t>
            </w:r>
            <w:r w:rsidR="00A7121E">
              <w:rPr>
                <w:bCs/>
                <w:szCs w:val="24"/>
              </w:rPr>
              <w:t>.</w:t>
            </w:r>
          </w:p>
        </w:tc>
        <w:tc>
          <w:tcPr>
            <w:tcW w:w="3544" w:type="dxa"/>
            <w:shd w:val="clear" w:color="auto" w:fill="auto"/>
            <w:hideMark/>
          </w:tcPr>
          <w:p w:rsidR="00F013EC" w:rsidRPr="006D7089" w:rsidRDefault="004E3191" w:rsidP="0072342E">
            <w:pPr>
              <w:rPr>
                <w:bCs/>
                <w:sz w:val="22"/>
                <w:szCs w:val="22"/>
              </w:rPr>
            </w:pPr>
            <w:r w:rsidRPr="009614D9">
              <w:rPr>
                <w:bCs/>
                <w:sz w:val="22"/>
                <w:szCs w:val="22"/>
              </w:rPr>
              <w:t>Дата исполнения обязательств согласно сделке.</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w:t>
      </w:r>
      <w:r w:rsidR="0042767F">
        <w:rPr>
          <w:rFonts w:eastAsia="Batang"/>
          <w:b/>
          <w:color w:val="000000"/>
          <w:szCs w:val="24"/>
        </w:rPr>
        <w:t>допущенных к иностранным организаторам торговли</w:t>
      </w:r>
      <w:r w:rsidR="00167390">
        <w:rPr>
          <w:rFonts w:eastAsia="Batang"/>
          <w:b/>
          <w:color w:val="000000"/>
          <w:szCs w:val="24"/>
        </w:rPr>
        <w:t>,</w:t>
      </w:r>
      <w:r w:rsidRPr="00B602F2">
        <w:rPr>
          <w:rFonts w:eastAsia="Batang"/>
          <w:b/>
          <w:color w:val="000000"/>
          <w:szCs w:val="24"/>
        </w:rPr>
        <w:t xml:space="preserve">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в случае, если они не допущены</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42767F" w:rsidRDefault="0042767F" w:rsidP="0072342E">
      <w:pPr>
        <w:tabs>
          <w:tab w:val="left" w:pos="993"/>
        </w:tabs>
        <w:jc w:val="both"/>
        <w:rPr>
          <w:rFonts w:eastAsia="Batang"/>
          <w:color w:val="000000"/>
          <w:szCs w:val="24"/>
        </w:rPr>
      </w:pPr>
    </w:p>
    <w:p w:rsidR="0042767F" w:rsidRPr="00B602F2" w:rsidRDefault="0042767F" w:rsidP="0072342E">
      <w:pPr>
        <w:tabs>
          <w:tab w:val="left" w:pos="993"/>
        </w:tabs>
        <w:jc w:val="both"/>
        <w:rPr>
          <w:rFonts w:eastAsia="Batang"/>
          <w:color w:val="000000"/>
          <w:szCs w:val="24"/>
        </w:rPr>
      </w:pPr>
      <w:r>
        <w:rPr>
          <w:rFonts w:eastAsia="Batang"/>
          <w:color w:val="000000"/>
          <w:szCs w:val="24"/>
        </w:rPr>
        <w:t>В случае если ценная бумага допущена к российским и иностранным организаторам торговли, приоритет в определении основного рынка отдается российским организаторам торговли</w:t>
      </w:r>
      <w:r w:rsidR="00FB25CC">
        <w:rPr>
          <w:rFonts w:eastAsia="Batang"/>
          <w:color w:val="000000"/>
          <w:szCs w:val="24"/>
        </w:rPr>
        <w:t>.</w:t>
      </w:r>
    </w:p>
    <w:p w:rsidR="00FB25CC" w:rsidRDefault="00FB25CC" w:rsidP="0072342E">
      <w:pPr>
        <w:tabs>
          <w:tab w:val="num" w:pos="360"/>
        </w:tabs>
        <w:spacing w:before="120"/>
        <w:contextualSpacing/>
      </w:pPr>
    </w:p>
    <w:p w:rsidR="00724964" w:rsidRPr="003730E0" w:rsidRDefault="00724964" w:rsidP="0072342E">
      <w:pPr>
        <w:pStyle w:val="2"/>
        <w:rPr>
          <w:rFonts w:eastAsia="Calibri"/>
          <w:lang w:eastAsia="en-US"/>
        </w:rPr>
      </w:pPr>
      <w:bookmarkStart w:id="20" w:name="_Toc74043298"/>
      <w:r w:rsidRPr="00456629">
        <w:rPr>
          <w:rFonts w:eastAsia="Calibri"/>
          <w:lang w:eastAsia="en-US"/>
        </w:rPr>
        <w:t>Определение</w:t>
      </w:r>
      <w:r w:rsidRPr="003730E0">
        <w:rPr>
          <w:rFonts w:eastAsia="Calibri"/>
          <w:lang w:eastAsia="en-US"/>
        </w:rPr>
        <w:t xml:space="preserve"> активного рынка</w:t>
      </w:r>
      <w:bookmarkEnd w:id="20"/>
      <w:r w:rsidR="00FB25CC">
        <w:rPr>
          <w:rFonts w:eastAsia="Calibri"/>
          <w:lang w:eastAsia="en-US"/>
        </w:rPr>
        <w:t>.</w:t>
      </w:r>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FB25CC" w:rsidRDefault="00FB25CC" w:rsidP="00167390">
      <w:pPr>
        <w:tabs>
          <w:tab w:val="num" w:pos="360"/>
        </w:tabs>
        <w:spacing w:before="120"/>
        <w:contextualSpacing/>
        <w:jc w:val="both"/>
        <w:rPr>
          <w:rFonts w:eastAsia="Calibri"/>
          <w:szCs w:val="24"/>
          <w:lang w:eastAsia="en-US"/>
        </w:rPr>
      </w:pPr>
      <w: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в иностранной валюте.</w:t>
      </w:r>
    </w:p>
    <w:p w:rsidR="00FB25CC" w:rsidRDefault="00FB25CC" w:rsidP="00FB25CC">
      <w:pPr>
        <w:tabs>
          <w:tab w:val="num" w:pos="360"/>
        </w:tabs>
        <w:spacing w:before="120"/>
        <w:contextualSpacing/>
        <w:jc w:val="both"/>
      </w:pPr>
      <w:r>
        <w:t xml:space="preserve"> </w:t>
      </w:r>
    </w:p>
    <w:p w:rsidR="00FB25CC" w:rsidRDefault="00FB25CC" w:rsidP="00FB25CC">
      <w:pPr>
        <w:tabs>
          <w:tab w:val="num" w:pos="360"/>
        </w:tabs>
        <w:spacing w:before="120"/>
        <w:contextualSpacing/>
        <w:jc w:val="both"/>
      </w:pPr>
      <w: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p w:rsidR="00FB25CC" w:rsidRPr="00055E36" w:rsidRDefault="00FB25CC" w:rsidP="00FB25CC">
      <w:pPr>
        <w:tabs>
          <w:tab w:val="num" w:pos="360"/>
        </w:tabs>
        <w:spacing w:before="120"/>
        <w:contextualSpacing/>
        <w:jc w:val="both"/>
      </w:pPr>
      <w:r>
        <w:t xml:space="preserve">Стоимость купона на дату определения СЧА используется в валюте номинала по данным ММВБ. В случае если ММВБ не публикует данные купона в валюте номинала, купон рассчитывается в соответствии </w:t>
      </w:r>
      <w:r w:rsidR="00867EE7">
        <w:t xml:space="preserve">с </w:t>
      </w:r>
      <w:r>
        <w:t>проспектом эмиссии ценных бумаг. Округление расчетного купона происходит по математическим правилам до 4-х знаков, если иное не прописано в проспекте эмиссии.</w:t>
      </w:r>
    </w:p>
    <w:p w:rsidR="00FB25CC" w:rsidRPr="00B602F2" w:rsidRDefault="00FB25CC" w:rsidP="0072342E">
      <w:pPr>
        <w:pStyle w:val="a5"/>
        <w:spacing w:line="240" w:lineRule="auto"/>
        <w:jc w:val="both"/>
        <w:rPr>
          <w:rFonts w:ascii="Times New Roman" w:hAnsi="Times New Roman"/>
          <w:sz w:val="24"/>
          <w:szCs w:val="24"/>
        </w:rPr>
      </w:pPr>
    </w:p>
    <w:p w:rsidR="00FB25CC" w:rsidRDefault="00FB25CC" w:rsidP="0072342E">
      <w:pPr>
        <w:pStyle w:val="a5"/>
        <w:spacing w:after="120" w:line="240" w:lineRule="auto"/>
        <w:ind w:left="0"/>
        <w:jc w:val="both"/>
        <w:rPr>
          <w:rFonts w:ascii="Times New Roman" w:hAnsi="Times New Roman"/>
          <w:b/>
          <w:sz w:val="32"/>
          <w:szCs w:val="32"/>
        </w:rPr>
      </w:pPr>
      <w:r w:rsidRPr="00800856">
        <w:rPr>
          <w:rFonts w:ascii="Times New Roman" w:hAnsi="Times New Roman"/>
          <w:b/>
          <w:sz w:val="32"/>
          <w:szCs w:val="32"/>
        </w:rPr>
        <w:t>Уровень 1</w:t>
      </w:r>
    </w:p>
    <w:p w:rsidR="00FB25CC" w:rsidRPr="009A443F" w:rsidRDefault="00FB25CC" w:rsidP="0072342E">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российским организаторам торговли на рынке ценных бумаг</w:t>
      </w:r>
    </w:p>
    <w:p w:rsidR="00EB6173" w:rsidRPr="00B602F2" w:rsidRDefault="00FB25CC" w:rsidP="0072342E">
      <w:pPr>
        <w:pStyle w:val="a5"/>
        <w:spacing w:after="120" w:line="240" w:lineRule="auto"/>
        <w:ind w:left="0"/>
        <w:jc w:val="both"/>
        <w:rPr>
          <w:rFonts w:ascii="Times New Roman" w:hAnsi="Times New Roman"/>
          <w:sz w:val="24"/>
          <w:szCs w:val="24"/>
        </w:rPr>
      </w:pPr>
      <w:r w:rsidRPr="00800856">
        <w:rPr>
          <w:rFonts w:ascii="Times New Roman" w:hAnsi="Times New Roman"/>
          <w:sz w:val="24"/>
          <w:szCs w:val="24"/>
        </w:rPr>
        <w:t xml:space="preserve"> </w:t>
      </w:r>
      <w:r w:rsidR="00EB6173" w:rsidRPr="00800856">
        <w:rPr>
          <w:rFonts w:ascii="Times New Roman" w:hAnsi="Times New Roman"/>
          <w:sz w:val="24"/>
          <w:szCs w:val="24"/>
        </w:rPr>
        <w:t>Для определения справедливой стоимости ценных бумаг</w:t>
      </w:r>
      <w:r w:rsidR="00867EE7">
        <w:rPr>
          <w:rFonts w:ascii="Times New Roman" w:hAnsi="Times New Roman"/>
          <w:sz w:val="24"/>
          <w:szCs w:val="24"/>
        </w:rPr>
        <w:t xml:space="preserve"> </w:t>
      </w:r>
      <w:r w:rsidR="002542AB">
        <w:rPr>
          <w:rFonts w:ascii="Times New Roman" w:hAnsi="Times New Roman"/>
          <w:sz w:val="24"/>
          <w:szCs w:val="24"/>
        </w:rPr>
        <w:t>и</w:t>
      </w:r>
      <w:r w:rsidR="00EB6173" w:rsidRPr="00FB25CC">
        <w:rPr>
          <w:rFonts w:ascii="Times New Roman" w:hAnsi="Times New Roman"/>
          <w:sz w:val="24"/>
          <w:szCs w:val="24"/>
        </w:rPr>
        <w:t>спользуются</w:t>
      </w:r>
      <w:r w:rsidR="00EB6173" w:rsidRPr="00B602F2">
        <w:rPr>
          <w:rFonts w:ascii="Times New Roman" w:hAnsi="Times New Roman"/>
          <w:sz w:val="24"/>
          <w:szCs w:val="24"/>
        </w:rPr>
        <w:t xml:space="preserve"> цены основного рынка (из числа активных  российских бирж), выбранные в следующем порядке (убывания приоритета):</w:t>
      </w:r>
    </w:p>
    <w:p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E63E72" w:rsidRPr="009A443F" w:rsidRDefault="00E63E72" w:rsidP="00E63E72">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иностранным  организаторам торговли на рынке ценных бумаг</w:t>
      </w:r>
    </w:p>
    <w:p w:rsidR="001B5D7C" w:rsidRPr="00800856" w:rsidRDefault="001B5D7C" w:rsidP="0072342E">
      <w:pPr>
        <w:jc w:val="both"/>
        <w:rPr>
          <w:szCs w:val="24"/>
        </w:rPr>
      </w:pPr>
      <w:r w:rsidRPr="00800856">
        <w:rPr>
          <w:szCs w:val="24"/>
        </w:rPr>
        <w:t xml:space="preserve">Справедливая стоимость </w:t>
      </w:r>
      <w:r w:rsidR="00FB25CC" w:rsidRPr="00800856">
        <w:rPr>
          <w:szCs w:val="24"/>
        </w:rPr>
        <w:t>ценных бумаг</w:t>
      </w:r>
      <w:r w:rsidRPr="00800856">
        <w:rPr>
          <w:szCs w:val="24"/>
        </w:rPr>
        <w:t>,  определяется в порядке убывания приоритета:</w:t>
      </w:r>
    </w:p>
    <w:p w:rsidR="001B5D7C" w:rsidRPr="00800856" w:rsidRDefault="001B5D7C" w:rsidP="00800856">
      <w:pPr>
        <w:jc w:val="both"/>
        <w:rPr>
          <w:szCs w:val="24"/>
        </w:rPr>
      </w:pPr>
      <w:r w:rsidRPr="00800856">
        <w:rPr>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800856" w:rsidRDefault="00F959A1" w:rsidP="00800856">
      <w:pPr>
        <w:pStyle w:val="2"/>
        <w:rPr>
          <w:rFonts w:eastAsia="Calibri"/>
          <w:b w:val="0"/>
          <w:sz w:val="32"/>
          <w:szCs w:val="32"/>
          <w:lang w:eastAsia="en-US"/>
        </w:rPr>
      </w:pPr>
      <w:r w:rsidRPr="00207827">
        <w:rPr>
          <w:rFonts w:eastAsia="Calibri"/>
          <w:lang w:eastAsia="en-US"/>
        </w:rPr>
        <w:br/>
      </w:r>
      <w:r w:rsidR="00E63E72" w:rsidRPr="00800856">
        <w:rPr>
          <w:rFonts w:eastAsia="Calibri"/>
          <w:sz w:val="32"/>
          <w:szCs w:val="32"/>
          <w:lang w:eastAsia="en-US"/>
        </w:rPr>
        <w:t xml:space="preserve">УРОВЕНЬ 2 </w:t>
      </w:r>
    </w:p>
    <w:p w:rsidR="00E63E72" w:rsidRDefault="00E63E72" w:rsidP="0072342E">
      <w:pPr>
        <w:jc w:val="both"/>
        <w:rPr>
          <w:b/>
          <w:szCs w:val="24"/>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E63E72" w:rsidP="00E96A1C">
      <w:pPr>
        <w:numPr>
          <w:ilvl w:val="0"/>
          <w:numId w:val="16"/>
        </w:numPr>
        <w:spacing w:before="120" w:after="240"/>
        <w:contextualSpacing/>
        <w:jc w:val="both"/>
        <w:rPr>
          <w:rFonts w:eastAsia="Calibri"/>
          <w:szCs w:val="24"/>
        </w:rPr>
      </w:pPr>
      <w:r>
        <w:rPr>
          <w:b/>
          <w:bCs/>
          <w:i/>
          <w:color w:val="000000"/>
          <w:szCs w:val="24"/>
        </w:rPr>
        <w:t>М</w:t>
      </w:r>
      <w:r w:rsidR="0037389E" w:rsidRPr="006D7089">
        <w:rPr>
          <w:b/>
          <w:bCs/>
          <w:i/>
          <w:color w:val="000000"/>
          <w:szCs w:val="24"/>
        </w:rPr>
        <w:t>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CA5019">
        <w:rPr>
          <w:rFonts w:eastAsia="Calibri"/>
          <w:i/>
          <w:szCs w:val="24"/>
        </w:rPr>
        <w:t xml:space="preserve"> </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644427"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644427"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644427"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E96A1C">
      <w:pPr>
        <w:numPr>
          <w:ilvl w:val="0"/>
          <w:numId w:val="16"/>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664CCC" w:rsidRPr="00B602F2">
        <w:rPr>
          <w:b/>
          <w:i/>
          <w:szCs w:val="24"/>
        </w:rPr>
        <w:t>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64442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64442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644427"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64442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64442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E96A1C">
      <w:pPr>
        <w:numPr>
          <w:ilvl w:val="0"/>
          <w:numId w:val="4"/>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F86FA6" w:rsidRPr="00800856" w:rsidRDefault="001604EB" w:rsidP="00E96A1C">
      <w:pPr>
        <w:numPr>
          <w:ilvl w:val="0"/>
          <w:numId w:val="4"/>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F86FA6" w:rsidRPr="007222E4" w:rsidRDefault="00F86FA6" w:rsidP="007222E4">
      <w:pPr>
        <w:spacing w:before="120"/>
        <w:contextualSpacing/>
        <w:jc w:val="both"/>
        <w:rPr>
          <w:rFonts w:eastAsia="Calibri"/>
          <w:szCs w:val="24"/>
          <w:lang w:eastAsia="en-US"/>
        </w:rPr>
      </w:pPr>
    </w:p>
    <w:p w:rsidR="00F86FA6" w:rsidRPr="00800856" w:rsidRDefault="00F86FA6" w:rsidP="007222E4">
      <w:pPr>
        <w:spacing w:before="120"/>
        <w:ind w:left="567" w:firstLine="141"/>
        <w:contextualSpacing/>
        <w:jc w:val="both"/>
        <w:rPr>
          <w:rFonts w:eastAsia="Calibri"/>
          <w:b/>
          <w:i/>
          <w:szCs w:val="24"/>
          <w:lang w:eastAsia="en-US"/>
        </w:rPr>
      </w:pPr>
      <w:r w:rsidRPr="00800856">
        <w:rPr>
          <w:b/>
          <w:i/>
        </w:rPr>
        <w:t xml:space="preserve">Особенности применения модели CAPM для акций иностранных эмитентов, в том числе паев (акций) иностранных инвестиционных фондов, акций международных компаний и депозитарных расписок: </w:t>
      </w:r>
    </w:p>
    <w:p w:rsidR="00F86FA6" w:rsidRPr="00F86FA6" w:rsidRDefault="00F86FA6" w:rsidP="00800856">
      <w:pPr>
        <w:spacing w:before="120"/>
        <w:ind w:left="567"/>
        <w:contextualSpacing/>
        <w:jc w:val="both"/>
        <w:rPr>
          <w:rFonts w:eastAsia="Calibri"/>
          <w:szCs w:val="24"/>
          <w:lang w:eastAsia="en-US"/>
        </w:rPr>
      </w:pPr>
      <w:r>
        <w:t xml:space="preserve">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используется Вариант 2 для акций российских эмитентов (модель CAPM) с учетом следующих особенностей. В качестве рыночного индикатора (бенчмарка) акций иностранных эмитентов, паев (акций) иностранных фондов, акций международных компаний используется индекс биржи, на которой определена справедливая цена уровня 1 иерархии справедливой стоимости на дату, предшествующую дате возникновения оснований для применения модели CAPМ. 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Для акций иностранных эмитентов, паев (акций) иностранных фондов, акций международных компаний в качестве безрисковой ставки доходности применяется ставка по государственным бумагам в валюте, соответствующей валюте исходной котировки 1 уровня оцениваемой акции (пая). Для депозитарных расписок в качестве безрисковой ставки 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При использовании модели CAPM: </w:t>
      </w:r>
      <w:r>
        <w:sym w:font="Symbol" w:char="F0B7"/>
      </w:r>
      <w:r>
        <w:t xml:space="preserve"> в целях расчета Бета-коэффициента для акций иностранных эмитентов, паев (акций) иностранных фондов, акций международных компаний и депозитарных 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 </w:t>
      </w:r>
      <w:r>
        <w:sym w:font="Symbol" w:char="F0B7"/>
      </w:r>
      <w:r>
        <w:t xml:space="preserve"> для депозитарных расписок в качестве показателя используется цена закрытия самой депозитарной расписки.</w:t>
      </w:r>
    </w:p>
    <w:p w:rsidR="00CC4419" w:rsidRPr="00B602F2" w:rsidRDefault="00CC4419" w:rsidP="0072342E">
      <w:pPr>
        <w:tabs>
          <w:tab w:val="num" w:pos="360"/>
        </w:tabs>
        <w:spacing w:before="120"/>
        <w:contextualSpacing/>
        <w:jc w:val="both"/>
        <w:rPr>
          <w:rFonts w:eastAsia="Calibri"/>
          <w:szCs w:val="24"/>
          <w:lang w:eastAsia="en-US"/>
        </w:rPr>
      </w:pPr>
    </w:p>
    <w:p w:rsidR="007A3DE0" w:rsidRPr="00B602F2" w:rsidRDefault="007A3DE0" w:rsidP="001C2B7D">
      <w:pPr>
        <w:tabs>
          <w:tab w:val="num" w:pos="360"/>
        </w:tabs>
        <w:spacing w:before="120" w:after="240"/>
        <w:contextualSpacing/>
        <w:jc w:val="both"/>
        <w:rPr>
          <w:rFonts w:eastAsia="Calibri"/>
          <w:szCs w:val="24"/>
          <w:lang w:eastAsia="en-US"/>
        </w:rPr>
      </w:pPr>
    </w:p>
    <w:p w:rsidR="00A52D50" w:rsidRDefault="00A52D50" w:rsidP="001C2B7D">
      <w:pPr>
        <w:spacing w:before="120" w:after="240"/>
        <w:contextualSpacing/>
        <w:jc w:val="both"/>
        <w:rPr>
          <w:b/>
          <w:bCs/>
          <w:color w:val="000000"/>
          <w:szCs w:val="24"/>
        </w:rPr>
      </w:pPr>
    </w:p>
    <w:p w:rsidR="00E63E72" w:rsidRPr="00B602F2" w:rsidRDefault="008D26A4"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sidR="00E63E72">
        <w:rPr>
          <w:b/>
          <w:bCs/>
          <w:color w:val="000000"/>
          <w:szCs w:val="24"/>
        </w:rPr>
        <w:t>д</w:t>
      </w:r>
      <w:r w:rsidR="001C0828">
        <w:rPr>
          <w:b/>
          <w:bCs/>
          <w:color w:val="000000"/>
          <w:szCs w:val="24"/>
        </w:rPr>
        <w:t>олго</w:t>
      </w:r>
      <w:r w:rsidR="00E63E72">
        <w:rPr>
          <w:b/>
          <w:bCs/>
          <w:color w:val="000000"/>
          <w:szCs w:val="24"/>
        </w:rPr>
        <w:t>вых ценных бумаг</w:t>
      </w:r>
      <w:r w:rsidR="00E63E72" w:rsidRPr="00207827">
        <w:rPr>
          <w:b/>
          <w:bCs/>
          <w:color w:val="000000"/>
          <w:szCs w:val="24"/>
        </w:rPr>
        <w:t xml:space="preserve"> </w:t>
      </w:r>
      <w:r w:rsidRPr="00207827">
        <w:rPr>
          <w:b/>
          <w:bCs/>
          <w:color w:val="000000"/>
          <w:szCs w:val="24"/>
        </w:rPr>
        <w:t xml:space="preserve">российских эмитентов, </w:t>
      </w:r>
      <w:r w:rsidR="00E63E72"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sidR="00E63E72">
        <w:rPr>
          <w:b/>
          <w:bCs/>
          <w:color w:val="000000"/>
          <w:szCs w:val="24"/>
        </w:rPr>
        <w:t xml:space="preserve"> </w:t>
      </w:r>
      <w:r w:rsidR="00E63E72" w:rsidRPr="00B602F2">
        <w:rPr>
          <w:b/>
          <w:szCs w:val="24"/>
        </w:rPr>
        <w:t>определяется в порядке убывания приоритета:</w:t>
      </w:r>
    </w:p>
    <w:p w:rsidR="007A3DE0" w:rsidRPr="00B602F2" w:rsidRDefault="007A3DE0" w:rsidP="001C2B7D">
      <w:pPr>
        <w:spacing w:before="120" w:after="240"/>
        <w:contextualSpacing/>
        <w:jc w:val="both"/>
        <w:rPr>
          <w:szCs w:val="24"/>
        </w:rPr>
      </w:pPr>
    </w:p>
    <w:p w:rsidR="005E1E23" w:rsidRPr="001E26E5" w:rsidRDefault="00D239E8" w:rsidP="00E96A1C">
      <w:pPr>
        <w:numPr>
          <w:ilvl w:val="0"/>
          <w:numId w:val="17"/>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9E59DD" w:rsidRDefault="00090007" w:rsidP="009E59DD">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9E59DD" w:rsidRPr="009E59DD" w:rsidRDefault="009E59DD" w:rsidP="00E94324">
      <w:pPr>
        <w:spacing w:before="120"/>
        <w:contextualSpacing/>
        <w:jc w:val="both"/>
        <w:rPr>
          <w:rFonts w:eastAsia="Calibri"/>
          <w:szCs w:val="24"/>
          <w:lang w:eastAsia="en-US"/>
        </w:rPr>
      </w:pPr>
      <w:r>
        <w:rPr>
          <w:rFonts w:eastAsia="Calibri"/>
          <w:szCs w:val="24"/>
          <w:lang w:eastAsia="en-US"/>
        </w:rPr>
        <w:t xml:space="preserve">        2. </w:t>
      </w:r>
      <w:r w:rsidRPr="009E59DD">
        <w:rPr>
          <w:rFonts w:eastAsia="Calibri"/>
          <w:szCs w:val="24"/>
          <w:lang w:eastAsia="en-US"/>
        </w:rPr>
        <w:t>Средняя индикативная цена, определенная по методике «Cbonds Estimation Onshore»</w:t>
      </w:r>
    </w:p>
    <w:p w:rsidR="009E59DD" w:rsidRDefault="009E59DD" w:rsidP="00E94324">
      <w:pPr>
        <w:spacing w:before="120"/>
        <w:contextualSpacing/>
        <w:jc w:val="both"/>
        <w:rPr>
          <w:rFonts w:eastAsia="Calibri"/>
          <w:szCs w:val="24"/>
          <w:lang w:eastAsia="en-US"/>
        </w:rPr>
      </w:pPr>
      <w:r>
        <w:rPr>
          <w:rFonts w:eastAsia="Calibri"/>
          <w:szCs w:val="24"/>
          <w:lang w:eastAsia="en-US"/>
        </w:rPr>
        <w:t xml:space="preserve">        3. </w:t>
      </w:r>
      <w:r w:rsidRPr="009E59DD">
        <w:rPr>
          <w:rFonts w:eastAsia="Calibri"/>
          <w:szCs w:val="24"/>
          <w:lang w:eastAsia="en-US"/>
        </w:rPr>
        <w:t>Индексная цена, определенная по методике RUDIP RUS (по исходным данным, относящимся к 1 или 2 уровню)</w:t>
      </w:r>
    </w:p>
    <w:p w:rsidR="000B1B07" w:rsidRDefault="000B1B07" w:rsidP="0072342E">
      <w:pPr>
        <w:spacing w:before="120"/>
        <w:ind w:left="720"/>
        <w:contextualSpacing/>
        <w:jc w:val="both"/>
        <w:rPr>
          <w:rFonts w:eastAsia="Calibri"/>
          <w:szCs w:val="24"/>
          <w:lang w:eastAsia="en-US"/>
        </w:rPr>
      </w:pPr>
    </w:p>
    <w:p w:rsidR="00D7733C" w:rsidRPr="00D817A7" w:rsidRDefault="009E59DD" w:rsidP="00E94324">
      <w:pPr>
        <w:spacing w:before="120"/>
        <w:ind w:left="360"/>
        <w:contextualSpacing/>
        <w:jc w:val="both"/>
        <w:rPr>
          <w:rFonts w:eastAsia="Calibri"/>
          <w:szCs w:val="24"/>
        </w:rPr>
      </w:pPr>
      <w:r>
        <w:rPr>
          <w:bCs/>
          <w:color w:val="000000"/>
          <w:szCs w:val="24"/>
        </w:rPr>
        <w:t xml:space="preserve">4.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644427"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644427"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644427"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63E72" w:rsidRDefault="00E63E72" w:rsidP="0072342E">
      <w:pPr>
        <w:pStyle w:val="2"/>
        <w:rPr>
          <w:rFonts w:eastAsia="Calibri"/>
          <w:lang w:eastAsia="en-US"/>
        </w:rPr>
      </w:pPr>
    </w:p>
    <w:p w:rsidR="00E201F4" w:rsidRPr="00800856" w:rsidRDefault="00E63E72" w:rsidP="0072342E">
      <w:pPr>
        <w:pStyle w:val="2"/>
        <w:rPr>
          <w:rFonts w:eastAsia="Calibri"/>
          <w:sz w:val="36"/>
          <w:szCs w:val="36"/>
          <w:lang w:eastAsia="en-US"/>
        </w:rPr>
      </w:pPr>
      <w:r w:rsidRPr="00800856">
        <w:rPr>
          <w:rFonts w:eastAsia="Calibri"/>
          <w:sz w:val="36"/>
          <w:szCs w:val="36"/>
          <w:lang w:eastAsia="en-US"/>
        </w:rPr>
        <w:t>УРОВЕНЬ 3</w:t>
      </w:r>
    </w:p>
    <w:p w:rsidR="00E63E72" w:rsidRPr="00E63E72" w:rsidRDefault="00E63E72" w:rsidP="00800856">
      <w:pPr>
        <w:rPr>
          <w:rFonts w:eastAsia="Calibri"/>
          <w:lang w:eastAsia="en-US"/>
        </w:rPr>
      </w:pPr>
    </w:p>
    <w:p w:rsidR="003B6093" w:rsidRPr="00B602F2" w:rsidRDefault="003B6093" w:rsidP="0072342E">
      <w:pPr>
        <w:spacing w:before="120"/>
        <w:contextualSpacing/>
        <w:jc w:val="both"/>
        <w:rPr>
          <w:rFonts w:eastAsia="Calibri"/>
          <w:szCs w:val="24"/>
          <w:lang w:eastAsia="en-US"/>
        </w:rPr>
      </w:pPr>
    </w:p>
    <w:p w:rsidR="00E63E72" w:rsidRPr="00B602F2" w:rsidRDefault="00E63E72"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Pr>
          <w:b/>
          <w:bCs/>
          <w:color w:val="000000"/>
          <w:szCs w:val="24"/>
        </w:rPr>
        <w:t>долевых ценных бумаг</w:t>
      </w:r>
      <w:r w:rsidRPr="00207827">
        <w:rPr>
          <w:b/>
          <w:bCs/>
          <w:color w:val="000000"/>
          <w:szCs w:val="24"/>
        </w:rPr>
        <w:t xml:space="preserve"> российских эмитентов, </w:t>
      </w:r>
      <w:r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Pr>
          <w:b/>
          <w:bCs/>
          <w:color w:val="000000"/>
          <w:szCs w:val="24"/>
        </w:rPr>
        <w:t xml:space="preserve"> </w:t>
      </w:r>
      <w:r w:rsidRPr="00B602F2">
        <w:rPr>
          <w:b/>
          <w:szCs w:val="24"/>
        </w:rPr>
        <w:t>определяется в порядке убывания приоритета:</w:t>
      </w:r>
    </w:p>
    <w:p w:rsidR="003B6093" w:rsidRDefault="003B6093" w:rsidP="0072342E">
      <w:pPr>
        <w:rPr>
          <w:b/>
          <w:i/>
          <w:szCs w:val="24"/>
        </w:rPr>
      </w:pPr>
    </w:p>
    <w:p w:rsidR="003B6093" w:rsidRPr="00800856" w:rsidRDefault="00E63E72" w:rsidP="00E96A1C">
      <w:pPr>
        <w:pStyle w:val="a5"/>
        <w:numPr>
          <w:ilvl w:val="0"/>
          <w:numId w:val="49"/>
        </w:numPr>
        <w:jc w:val="both"/>
        <w:rPr>
          <w:szCs w:val="24"/>
        </w:rPr>
      </w:pPr>
      <w:r w:rsidRPr="00E63E72">
        <w:rPr>
          <w:szCs w:val="24"/>
        </w:rPr>
        <w:t>-</w:t>
      </w:r>
      <w:r w:rsidR="003B6093" w:rsidRPr="00E63E72">
        <w:rPr>
          <w:szCs w:val="24"/>
        </w:rPr>
        <w:t xml:space="preserve"> </w:t>
      </w:r>
      <w:r w:rsidR="003B6093" w:rsidRPr="00800856">
        <w:rPr>
          <w:rFonts w:ascii="Times New Roman" w:hAnsi="Times New Roman"/>
          <w:sz w:val="24"/>
          <w:szCs w:val="24"/>
        </w:rPr>
        <w:t xml:space="preserve">цена, рассчитанная Ценовым Центром НКО АО НРД </w:t>
      </w:r>
      <w:r w:rsidR="00867EE7">
        <w:rPr>
          <w:rFonts w:ascii="Times New Roman" w:hAnsi="Times New Roman"/>
          <w:sz w:val="24"/>
          <w:szCs w:val="24"/>
        </w:rPr>
        <w:t xml:space="preserve">по </w:t>
      </w:r>
      <w:r w:rsidR="003B6093" w:rsidRPr="00800856">
        <w:rPr>
          <w:rFonts w:ascii="Times New Roman" w:hAnsi="Times New Roman"/>
          <w:sz w:val="24"/>
          <w:szCs w:val="24"/>
        </w:rPr>
        <w:t>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(метод индексного дисконтированного денежного потока)</w:t>
      </w:r>
    </w:p>
    <w:p w:rsidR="00E201F4" w:rsidRPr="00E63E72" w:rsidRDefault="003B6093" w:rsidP="00E96A1C">
      <w:pPr>
        <w:pStyle w:val="a5"/>
        <w:numPr>
          <w:ilvl w:val="0"/>
          <w:numId w:val="49"/>
        </w:numPr>
        <w:jc w:val="both"/>
        <w:rPr>
          <w:b/>
          <w:szCs w:val="24"/>
        </w:rPr>
      </w:pPr>
      <w:r w:rsidRPr="00800856">
        <w:rPr>
          <w:rFonts w:ascii="Times New Roman" w:hAnsi="Times New Roman"/>
          <w:sz w:val="24"/>
          <w:szCs w:val="24"/>
        </w:rPr>
        <w:t>- Цена, определенная</w:t>
      </w:r>
      <w:r w:rsidR="00E201F4" w:rsidRPr="00800856">
        <w:rPr>
          <w:rFonts w:ascii="Times New Roman" w:hAnsi="Times New Roman"/>
          <w:sz w:val="24"/>
          <w:szCs w:val="24"/>
        </w:rPr>
        <w:t xml:space="preserve"> </w:t>
      </w:r>
      <w:r w:rsidR="00D33BC1" w:rsidRPr="00800856">
        <w:rPr>
          <w:rFonts w:ascii="Times New Roman" w:hAnsi="Times New Roman"/>
          <w:sz w:val="24"/>
          <w:szCs w:val="24"/>
        </w:rPr>
        <w:t xml:space="preserve">методом </w:t>
      </w:r>
      <w:r w:rsidR="00E201F4" w:rsidRPr="00800856">
        <w:rPr>
          <w:rFonts w:ascii="Times New Roman" w:hAnsi="Times New Roman"/>
          <w:sz w:val="24"/>
          <w:szCs w:val="24"/>
        </w:rPr>
        <w:t>дисконтирования стоимости будущих</w:t>
      </w:r>
      <w:r w:rsidR="00CC0B22" w:rsidRPr="00800856">
        <w:rPr>
          <w:rFonts w:ascii="Times New Roman" w:hAnsi="Times New Roman"/>
          <w:sz w:val="24"/>
          <w:szCs w:val="24"/>
        </w:rPr>
        <w:t xml:space="preserve"> </w:t>
      </w:r>
      <w:r w:rsidR="00D33BC1" w:rsidRPr="00800856">
        <w:rPr>
          <w:rFonts w:ascii="Times New Roman" w:hAnsi="Times New Roman"/>
          <w:sz w:val="24"/>
          <w:szCs w:val="24"/>
        </w:rPr>
        <w:t>потоков</w:t>
      </w:r>
      <w:r w:rsidR="00E201F4" w:rsidRPr="00800856">
        <w:rPr>
          <w:rFonts w:ascii="Times New Roman" w:hAnsi="Times New Roman"/>
          <w:sz w:val="24"/>
          <w:szCs w:val="24"/>
        </w:rPr>
        <w:t xml:space="preserve">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44BD4BCE">
          <v:shape id="_x0000_i1072" type="#_x0000_t75" style="width:145.5pt;height:33pt" o:ole="">
            <v:imagedata r:id="rId83" o:title=""/>
          </v:shape>
          <o:OLEObject Type="Embed" ProgID="Equation.3" ShapeID="_x0000_i1072" DrawAspect="Content" ObjectID="_1769426111" r:id="rId84"/>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E201F4" w:rsidRPr="00906E53" w:rsidRDefault="00644427" w:rsidP="00167390">
      <w:pPr>
        <w:rPr>
          <w:szCs w:val="24"/>
        </w:rPr>
      </w:pPr>
      <w:hyperlink r:id="rId85" w:history="1">
        <w:r w:rsidR="00887662" w:rsidRPr="008434DB">
          <w:rPr>
            <w:rStyle w:val="a7"/>
          </w:rPr>
          <w:t>https://www.spglobal.com/ratings/en/research/articles/220413-default-transition-and-recovery-2021-annual-global-corporate-default-and-rating-transition-study-12336975</w:t>
        </w:r>
      </w:hyperlink>
      <w:r w:rsidR="00E201F4" w:rsidRPr="008434DB">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52"/>
        <w:gridCol w:w="1865"/>
        <w:gridCol w:w="1811"/>
        <w:gridCol w:w="1818"/>
        <w:gridCol w:w="1941"/>
      </w:tblGrid>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rsidTr="00D6688D">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rsidR="00D6688D" w:rsidRPr="00471B5E" w:rsidRDefault="00D6688D" w:rsidP="00D6688D">
            <w:pPr>
              <w:spacing w:line="312" w:lineRule="auto"/>
              <w:jc w:val="center"/>
              <w:rPr>
                <w:rFonts w:eastAsia="Calibri"/>
                <w:b/>
              </w:rPr>
            </w:pPr>
          </w:p>
        </w:tc>
      </w:tr>
      <w:tr w:rsidR="00D6688D" w:rsidRPr="00471B5E" w:rsidTr="00D6688D">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rsidR="00D6688D" w:rsidRDefault="00D6688D" w:rsidP="00D6688D">
            <w:pPr>
              <w:spacing w:line="312" w:lineRule="auto"/>
              <w:rPr>
                <w:rFonts w:eastAsia="Calibri"/>
                <w:sz w:val="20"/>
                <w:lang w:val="en-US"/>
              </w:rPr>
            </w:pPr>
            <w:r w:rsidRPr="00B74C81">
              <w:rPr>
                <w:rFonts w:eastAsia="Calibri"/>
                <w:sz w:val="20"/>
                <w:lang w:val="en-US"/>
              </w:rPr>
              <w:t>ruAA-, ruA+,</w:t>
            </w:r>
          </w:p>
          <w:p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rsidR="00D6688D" w:rsidRPr="003D2775" w:rsidRDefault="00D6688D" w:rsidP="00D6688D">
            <w:pPr>
              <w:spacing w:line="312" w:lineRule="auto"/>
              <w:rPr>
                <w:rFonts w:eastAsia="Calibri"/>
                <w:sz w:val="20"/>
                <w:lang w:val="en-US"/>
              </w:rPr>
            </w:pPr>
            <w:r w:rsidRPr="00193F74">
              <w:rPr>
                <w:rFonts w:eastAsia="Calibri"/>
                <w:sz w:val="20"/>
                <w:lang w:val="en-US"/>
              </w:rPr>
              <w:t>AA+|ru|, AA|ru|,</w:t>
            </w:r>
          </w:p>
          <w:p w:rsidR="00D6688D" w:rsidRPr="00193F74" w:rsidRDefault="00D6688D" w:rsidP="00D6688D">
            <w:pPr>
              <w:spacing w:line="312" w:lineRule="auto"/>
              <w:rPr>
                <w:rFonts w:eastAsia="Calibri"/>
                <w:sz w:val="20"/>
                <w:lang w:val="en-US"/>
              </w:rPr>
            </w:pPr>
            <w:r w:rsidRPr="00193F74">
              <w:rPr>
                <w:rFonts w:eastAsia="Calibri"/>
                <w:sz w:val="20"/>
                <w:lang w:val="en-US"/>
              </w:rPr>
              <w:t>AA-|ru|,  A+|ru|,</w:t>
            </w:r>
          </w:p>
          <w:p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D6688D" w:rsidRPr="00C02C98" w:rsidRDefault="00D6688D" w:rsidP="00D6688D">
      <w:pPr>
        <w:spacing w:line="312" w:lineRule="auto"/>
        <w:jc w:val="both"/>
        <w:rPr>
          <w:rFonts w:eastAsia="Calibri"/>
          <w:szCs w:val="24"/>
        </w:rPr>
      </w:pPr>
    </w:p>
    <w:p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ind w:firstLine="690"/>
        <w:jc w:val="both"/>
        <w:rPr>
          <w:rFonts w:eastAsia="Calibri"/>
          <w:szCs w:val="24"/>
        </w:rPr>
      </w:pPr>
      <w:r w:rsidRPr="00C02C98">
        <w:rPr>
          <w:rFonts w:eastAsia="Calibri"/>
          <w:szCs w:val="24"/>
        </w:rPr>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644427"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644427"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rsidR="00D6688D" w:rsidRPr="00C02C98" w:rsidRDefault="00644427"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800856">
      <w:pPr>
        <w:pStyle w:val="a5"/>
        <w:spacing w:after="0" w:line="312" w:lineRule="auto"/>
        <w:ind w:left="644"/>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D6688D" w:rsidRPr="00C02C98" w:rsidRDefault="00D6688D" w:rsidP="00E96A1C">
      <w:pPr>
        <w:numPr>
          <w:ilvl w:val="0"/>
          <w:numId w:val="46"/>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D6688D" w:rsidRPr="00C02C98" w:rsidRDefault="00644427"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644427"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644427"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rsidR="00D6688D" w:rsidRPr="00C02C98" w:rsidRDefault="00D6688D" w:rsidP="00E96A1C">
      <w:pPr>
        <w:numPr>
          <w:ilvl w:val="0"/>
          <w:numId w:val="46"/>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D6688D" w:rsidRPr="00C02C98" w:rsidRDefault="00644427"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644427"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644427"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644427"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rsidR="00D6688D" w:rsidRPr="00C02C98" w:rsidRDefault="00D6688D" w:rsidP="00E96A1C">
      <w:pPr>
        <w:pStyle w:val="a5"/>
        <w:numPr>
          <w:ilvl w:val="0"/>
          <w:numId w:val="46"/>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rsidR="00D6688D" w:rsidRPr="00C02C98" w:rsidRDefault="00D6688D" w:rsidP="00D6688D">
      <w:pPr>
        <w:spacing w:line="312" w:lineRule="auto"/>
        <w:ind w:left="708" w:firstLine="708"/>
        <w:rPr>
          <w:szCs w:val="24"/>
        </w:rPr>
      </w:pPr>
      <w:r w:rsidRPr="00C02C98">
        <w:rPr>
          <w:szCs w:val="24"/>
        </w:rPr>
        <w:t>где:</w:t>
      </w:r>
    </w:p>
    <w:p w:rsidR="00D6688D" w:rsidRPr="00C02C98" w:rsidRDefault="00644427"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rsidR="00D6688D" w:rsidRPr="00C02C98" w:rsidRDefault="00D6688D" w:rsidP="00D6688D">
      <w:pPr>
        <w:spacing w:line="312" w:lineRule="auto"/>
        <w:contextualSpacing/>
        <w:jc w:val="both"/>
        <w:rPr>
          <w:szCs w:val="24"/>
        </w:rPr>
      </w:pPr>
    </w:p>
    <w:p w:rsidR="00D6688D" w:rsidRPr="00C02C98" w:rsidRDefault="00D6688D" w:rsidP="00E96A1C">
      <w:pPr>
        <w:pStyle w:val="a5"/>
        <w:numPr>
          <w:ilvl w:val="0"/>
          <w:numId w:val="47"/>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rsidR="00D6688D" w:rsidRPr="00C02C98" w:rsidRDefault="00D6688D" w:rsidP="00E96A1C">
      <w:pPr>
        <w:numPr>
          <w:ilvl w:val="0"/>
          <w:numId w:val="48"/>
        </w:numPr>
        <w:spacing w:line="312" w:lineRule="auto"/>
        <w:ind w:left="1134" w:hanging="425"/>
        <w:jc w:val="both"/>
        <w:rPr>
          <w:szCs w:val="24"/>
        </w:rPr>
      </w:pPr>
      <w:r w:rsidRPr="00C02C98">
        <w:rPr>
          <w:rFonts w:eastAsia="Calibri"/>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rsidR="00D6688D" w:rsidRPr="00C02C98" w:rsidRDefault="00D6688D" w:rsidP="00D6688D">
      <w:pPr>
        <w:spacing w:line="312" w:lineRule="auto"/>
        <w:ind w:left="708"/>
        <w:jc w:val="both"/>
        <w:rPr>
          <w:rFonts w:eastAsia="Calibri"/>
          <w:b/>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264"/>
        <w:gridCol w:w="2761"/>
        <w:gridCol w:w="3262"/>
      </w:tblGrid>
      <w:tr w:rsidR="00D6688D" w:rsidRPr="00C02C98" w:rsidTr="00D6688D">
        <w:trPr>
          <w:trHeight w:val="284"/>
        </w:trPr>
        <w:tc>
          <w:tcPr>
            <w:tcW w:w="9571" w:type="dxa"/>
            <w:gridSpan w:val="3"/>
            <w:shd w:val="clear" w:color="auto" w:fill="BFBFBF" w:themeFill="background1" w:themeFillShade="BF"/>
          </w:tcPr>
          <w:p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rsidR="00D6688D" w:rsidRPr="00C02C98" w:rsidRDefault="0064442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64442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rsidTr="00D6688D">
        <w:trPr>
          <w:trHeight w:val="284"/>
        </w:trPr>
        <w:tc>
          <w:tcPr>
            <w:tcW w:w="3369" w:type="dxa"/>
          </w:tcPr>
          <w:p w:rsidR="00D6688D" w:rsidRPr="00C02C98" w:rsidRDefault="0064442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64442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rsidTr="00D6688D">
        <w:trPr>
          <w:trHeight w:val="284"/>
        </w:trPr>
        <w:tc>
          <w:tcPr>
            <w:tcW w:w="3369" w:type="dxa"/>
          </w:tcPr>
          <w:p w:rsidR="00D6688D" w:rsidRPr="00C02C98" w:rsidRDefault="0064442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644427"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3B6093" w:rsidRPr="007F610B" w:rsidRDefault="003B6093" w:rsidP="0072342E">
      <w:pPr>
        <w:rPr>
          <w:b/>
          <w:i/>
          <w:szCs w:val="24"/>
        </w:rPr>
      </w:pPr>
    </w:p>
    <w:p w:rsidR="00AF1D7D" w:rsidRDefault="00E201F4" w:rsidP="00800856">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w:t>
      </w:r>
      <w:r w:rsidR="000977AC">
        <w:rPr>
          <w:szCs w:val="24"/>
        </w:rPr>
        <w:t xml:space="preserve"> цена </w:t>
      </w:r>
      <w:r w:rsidRPr="00B602F2">
        <w:rPr>
          <w:szCs w:val="24"/>
        </w:rPr>
        <w:t xml:space="preserve">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r w:rsidR="000977AC">
        <w:rPr>
          <w:rFonts w:eastAsia="Calibri"/>
        </w:rPr>
        <w:t xml:space="preserve"> рассчитывается по </w:t>
      </w:r>
    </w:p>
    <w:p w:rsidR="00AF1D7D" w:rsidRDefault="00AF1D7D" w:rsidP="0072342E">
      <w:pPr>
        <w:ind w:firstLine="426"/>
        <w:jc w:val="both"/>
        <w:rPr>
          <w:szCs w:val="24"/>
        </w:rPr>
      </w:pPr>
    </w:p>
    <w:p w:rsidR="00AF1D7D" w:rsidRPr="00962AAF" w:rsidRDefault="00AF1D7D" w:rsidP="00B11E79">
      <w:pPr>
        <w:tabs>
          <w:tab w:val="left" w:pos="709"/>
        </w:tabs>
        <w:spacing w:line="276" w:lineRule="auto"/>
        <w:contextualSpacing/>
        <w:jc w:val="both"/>
        <w:rPr>
          <w:rFonts w:eastAsia="Calibri"/>
        </w:rPr>
      </w:pPr>
      <w:r w:rsidRPr="00962AAF">
        <w:rPr>
          <w:rFonts w:eastAsia="Calibri"/>
        </w:rPr>
        <w:t>по формуле:</w:t>
      </w:r>
    </w:p>
    <w:p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rsidR="00AF1D7D" w:rsidRPr="00962AAF" w:rsidRDefault="00AF1D7D" w:rsidP="00AF1D7D">
      <w:pPr>
        <w:spacing w:line="276" w:lineRule="auto"/>
        <w:ind w:left="709" w:hanging="1"/>
        <w:jc w:val="both"/>
      </w:pPr>
      <w:r w:rsidRPr="00962AAF">
        <w:t>где</w:t>
      </w:r>
    </w:p>
    <w:p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rsidR="00AF1D7D" w:rsidRPr="00962AAF" w:rsidRDefault="00644427"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644427"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rsidR="00AF1D7D" w:rsidRPr="00962AAF" w:rsidRDefault="00644427"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rsidR="00AF1D7D" w:rsidRPr="00962AAF" w:rsidRDefault="00644427"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644427"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644427"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Pr="00962AAF" w:rsidRDefault="00AF1D7D" w:rsidP="00AF1D7D">
      <w:pPr>
        <w:spacing w:line="276" w:lineRule="auto"/>
        <w:ind w:left="709"/>
        <w:jc w:val="both"/>
      </w:pP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rsidR="00AF1D7D" w:rsidRPr="00962AAF" w:rsidRDefault="00644427"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644427"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rsidR="00AF1D7D" w:rsidRPr="00962AAF" w:rsidRDefault="00AF1D7D" w:rsidP="00AF1D7D">
      <w:pPr>
        <w:spacing w:before="240" w:line="276" w:lineRule="auto"/>
        <w:ind w:left="709"/>
        <w:contextualSpacing/>
        <w:jc w:val="both"/>
      </w:pPr>
    </w:p>
    <w:p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rsidR="00AF1D7D" w:rsidRPr="00962AAF" w:rsidRDefault="00AF1D7D" w:rsidP="00AF1D7D">
      <w:pPr>
        <w:tabs>
          <w:tab w:val="left" w:pos="709"/>
        </w:tabs>
        <w:spacing w:line="276" w:lineRule="auto"/>
        <w:ind w:left="709"/>
        <w:contextualSpacing/>
        <w:jc w:val="both"/>
        <w:rPr>
          <w:rFonts w:eastAsia="Calibri"/>
        </w:rPr>
      </w:pPr>
    </w:p>
    <w:p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rsidR="00AF1D7D" w:rsidRPr="00962AAF" w:rsidRDefault="00AF1D7D" w:rsidP="00AF1D7D">
      <w:pPr>
        <w:jc w:val="both"/>
      </w:pPr>
    </w:p>
    <w:p w:rsidR="00AF1D7D" w:rsidRPr="00962AAF" w:rsidRDefault="00AF1D7D" w:rsidP="00E96A1C">
      <w:pPr>
        <w:numPr>
          <w:ilvl w:val="0"/>
          <w:numId w:val="44"/>
        </w:numPr>
        <w:spacing w:line="276" w:lineRule="auto"/>
        <w:contextualSpacing/>
        <w:jc w:val="both"/>
        <w:rPr>
          <w:rFonts w:eastAsia="Calibri"/>
          <w:vanish/>
        </w:rPr>
      </w:pPr>
    </w:p>
    <w:p w:rsidR="00AF1D7D" w:rsidRPr="00962AAF" w:rsidRDefault="00AF1D7D" w:rsidP="00E96A1C">
      <w:pPr>
        <w:numPr>
          <w:ilvl w:val="0"/>
          <w:numId w:val="44"/>
        </w:numPr>
        <w:spacing w:line="276" w:lineRule="auto"/>
        <w:contextualSpacing/>
        <w:jc w:val="both"/>
        <w:rPr>
          <w:rFonts w:eastAsia="Calibri"/>
          <w:vanish/>
        </w:rPr>
      </w:pPr>
    </w:p>
    <w:p w:rsidR="00AF1D7D" w:rsidRPr="00962AAF" w:rsidRDefault="00AF1D7D" w:rsidP="00E96A1C">
      <w:pPr>
        <w:numPr>
          <w:ilvl w:val="1"/>
          <w:numId w:val="44"/>
        </w:numPr>
        <w:spacing w:line="276" w:lineRule="auto"/>
        <w:contextualSpacing/>
        <w:jc w:val="both"/>
        <w:rPr>
          <w:rFonts w:eastAsia="Calibri"/>
          <w:vanish/>
        </w:rPr>
      </w:pPr>
    </w:p>
    <w:p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rsidR="00AF1D7D" w:rsidRPr="00962AAF" w:rsidRDefault="00AF1D7D" w:rsidP="00E96A1C">
      <w:pPr>
        <w:numPr>
          <w:ilvl w:val="0"/>
          <w:numId w:val="42"/>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AA40C4">
        <w:rPr>
          <w:rFonts w:eastAsia="Calibri"/>
        </w:rPr>
        <w:t xml:space="preserve"> </w:t>
      </w:r>
      <w:r w:rsidR="00D33BC1">
        <w:rPr>
          <w:rFonts w:eastAsia="Calibri"/>
        </w:rPr>
        <w:t>(см. метод дисконтирования денежных потоков для облигаций в рублях)</w:t>
      </w:r>
      <w:r w:rsidRPr="00962AAF">
        <w:rPr>
          <w:rFonts w:eastAsia="Calibri"/>
        </w:rPr>
        <w:t xml:space="preserve">. </w:t>
      </w:r>
    </w:p>
    <w:p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rsidR="00AF1D7D" w:rsidRPr="00B602F2" w:rsidRDefault="00AF1D7D" w:rsidP="0072342E">
      <w:pPr>
        <w:ind w:firstLine="426"/>
        <w:jc w:val="both"/>
        <w:rPr>
          <w:szCs w:val="24"/>
        </w:rPr>
      </w:pPr>
    </w:p>
    <w:p w:rsidR="00F569AE" w:rsidRPr="00F569AE" w:rsidRDefault="004B69F0" w:rsidP="00F569AE">
      <w:pPr>
        <w:spacing w:after="120"/>
        <w:ind w:firstLine="426"/>
        <w:jc w:val="both"/>
        <w:rPr>
          <w:szCs w:val="24"/>
        </w:rPr>
      </w:pPr>
      <w:r>
        <w:rPr>
          <w:szCs w:val="24"/>
        </w:rPr>
        <w:t>3</w:t>
      </w:r>
      <w:r w:rsidR="00F569AE">
        <w:rPr>
          <w:szCs w:val="24"/>
        </w:rPr>
        <w:t>.</w:t>
      </w:r>
      <w:r w:rsidR="00F569AE" w:rsidRPr="00F569AE">
        <w:rPr>
          <w:szCs w:val="24"/>
        </w:rPr>
        <w:t xml:space="preserve"> Индексная цена, определенная по методике RUDIP RUS (по исходным данным, относящимся к 3 уровню)</w:t>
      </w:r>
    </w:p>
    <w:p w:rsidR="00ED16C2" w:rsidRPr="00800856" w:rsidRDefault="004B69F0" w:rsidP="00F569AE">
      <w:pPr>
        <w:spacing w:after="120"/>
        <w:ind w:firstLine="426"/>
        <w:jc w:val="both"/>
        <w:rPr>
          <w:szCs w:val="24"/>
        </w:rPr>
      </w:pPr>
      <w:r>
        <w:rPr>
          <w:szCs w:val="24"/>
        </w:rPr>
        <w:t>4</w:t>
      </w:r>
      <w:r w:rsidR="00F569AE">
        <w:rPr>
          <w:szCs w:val="24"/>
        </w:rPr>
        <w:t>.</w:t>
      </w:r>
      <w:r w:rsidR="00F569AE" w:rsidRPr="00F569AE">
        <w:rPr>
          <w:szCs w:val="24"/>
        </w:rPr>
        <w:t xml:space="preserve"> Цена Bid, определенная по методике «Cbonds Estimation Onshore»</w:t>
      </w:r>
    </w:p>
    <w:p w:rsidR="00BB48AC" w:rsidRPr="00800856" w:rsidRDefault="00BB48AC" w:rsidP="00F569AE">
      <w:pPr>
        <w:spacing w:after="120"/>
        <w:ind w:firstLine="426"/>
        <w:jc w:val="both"/>
        <w:rPr>
          <w:szCs w:val="24"/>
        </w:rPr>
      </w:pPr>
    </w:p>
    <w:p w:rsidR="00BB48AC" w:rsidRPr="00BB48AC" w:rsidRDefault="00BB48AC" w:rsidP="00BB48AC">
      <w:pPr>
        <w:spacing w:after="120"/>
        <w:ind w:firstLine="426"/>
        <w:jc w:val="both"/>
        <w:rPr>
          <w:szCs w:val="24"/>
        </w:rPr>
      </w:pPr>
      <w:r>
        <w:rPr>
          <w:szCs w:val="24"/>
        </w:rPr>
        <w:t>Допускается применение ц</w:t>
      </w:r>
      <w:r w:rsidRPr="00800856">
        <w:rPr>
          <w:szCs w:val="24"/>
        </w:rPr>
        <w:t>ен</w:t>
      </w:r>
      <w:r>
        <w:rPr>
          <w:szCs w:val="24"/>
        </w:rPr>
        <w:t>ы</w:t>
      </w:r>
      <w:r w:rsidR="00AA40C4">
        <w:rPr>
          <w:szCs w:val="24"/>
        </w:rPr>
        <w:t>,</w:t>
      </w:r>
      <w:r w:rsidRPr="00800856">
        <w:rPr>
          <w:szCs w:val="24"/>
        </w:rPr>
        <w:t xml:space="preserve"> определенн</w:t>
      </w:r>
      <w:r>
        <w:rPr>
          <w:szCs w:val="24"/>
        </w:rPr>
        <w:t>ой</w:t>
      </w:r>
      <w:r w:rsidRPr="00800856">
        <w:rPr>
          <w:szCs w:val="24"/>
        </w:rPr>
        <w:t xml:space="preserve"> с использованием наблюдаемых/подтверждаемых котировок, предоставленных проф</w:t>
      </w:r>
      <w:r w:rsidR="00AA40C4">
        <w:rPr>
          <w:szCs w:val="24"/>
        </w:rPr>
        <w:t>ессиональными</w:t>
      </w:r>
      <w:r w:rsidRPr="00800856">
        <w:rPr>
          <w:szCs w:val="24"/>
        </w:rPr>
        <w:t xml:space="preserve">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w:t>
      </w:r>
      <w:r w:rsidR="00AA40C4">
        <w:rPr>
          <w:szCs w:val="24"/>
        </w:rPr>
        <w:t>ессиональным</w:t>
      </w:r>
      <w:r w:rsidRPr="00800856">
        <w:rPr>
          <w:szCs w:val="24"/>
        </w:rPr>
        <w:t xml:space="preserve">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w:t>
      </w:r>
      <w:r w:rsidR="00AA40C4">
        <w:rPr>
          <w:szCs w:val="24"/>
        </w:rPr>
        <w:t>ессиональный</w:t>
      </w:r>
      <w:r w:rsidRPr="00800856">
        <w:rPr>
          <w:szCs w:val="24"/>
        </w:rPr>
        <w:t xml:space="preserve">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rsidR="00913107" w:rsidRPr="00207827" w:rsidRDefault="00913107" w:rsidP="0072342E">
      <w:pPr>
        <w:pStyle w:val="2"/>
        <w:rPr>
          <w:rFonts w:eastAsia="Calibri"/>
          <w:lang w:eastAsia="en-US"/>
        </w:rPr>
      </w:pPr>
      <w:bookmarkStart w:id="21"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1"/>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2"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2"/>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3"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3"/>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4"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4"/>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5" w:name="_Toc74043307"/>
      <w:r w:rsidRPr="001C2B7D">
        <w:rPr>
          <w:rFonts w:eastAsia="Batang"/>
        </w:rPr>
        <w:t>Драгоценные металлы</w:t>
      </w:r>
      <w:r w:rsidR="00E37F4F" w:rsidRPr="001C2B7D">
        <w:rPr>
          <w:rFonts w:eastAsia="Batang"/>
        </w:rPr>
        <w:t>.</w:t>
      </w:r>
      <w:bookmarkEnd w:id="25"/>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6"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6"/>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7" w:name="_Toc74043309"/>
      <w:r w:rsidRPr="001C2B7D">
        <w:rPr>
          <w:rFonts w:eastAsia="Batang"/>
        </w:rPr>
        <w:t>Сделки с ценными бумагами, полученными на возвратной основе (РЕПО)</w:t>
      </w:r>
      <w:bookmarkEnd w:id="27"/>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E96A1C">
      <w:pPr>
        <w:pStyle w:val="11"/>
        <w:numPr>
          <w:ilvl w:val="0"/>
          <w:numId w:val="22"/>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644427"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64442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E96A1C">
      <w:pPr>
        <w:pStyle w:val="11"/>
        <w:numPr>
          <w:ilvl w:val="0"/>
          <w:numId w:val="22"/>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E96A1C">
      <w:pPr>
        <w:pStyle w:val="11"/>
        <w:numPr>
          <w:ilvl w:val="0"/>
          <w:numId w:val="22"/>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E96A1C">
      <w:pPr>
        <w:pStyle w:val="11"/>
        <w:numPr>
          <w:ilvl w:val="0"/>
          <w:numId w:val="41"/>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28" w:name="_Toc74043310"/>
      <w:r w:rsidRPr="00AD1AF7">
        <w:rPr>
          <w:rFonts w:eastAsia="Calibri"/>
          <w:lang w:eastAsia="en-US"/>
        </w:rPr>
        <w:t>Дебиторская и кредиторская задолженность.</w:t>
      </w:r>
      <w:bookmarkEnd w:id="28"/>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29" w:name="_Toc74043311"/>
      <w:r w:rsidRPr="00B602F2">
        <w:rPr>
          <w:rFonts w:eastAsia="Calibri"/>
          <w:lang w:eastAsia="en-US"/>
        </w:rPr>
        <w:t>Сделки со сроком расчетов более Т0 (до даты расчетов)</w:t>
      </w:r>
      <w:bookmarkEnd w:id="29"/>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0"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0"/>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E96A1C">
      <w:pPr>
        <w:pStyle w:val="a5"/>
        <w:numPr>
          <w:ilvl w:val="0"/>
          <w:numId w:val="19"/>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E96A1C">
      <w:pPr>
        <w:numPr>
          <w:ilvl w:val="0"/>
          <w:numId w:val="6"/>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E96A1C">
      <w:pPr>
        <w:numPr>
          <w:ilvl w:val="0"/>
          <w:numId w:val="6"/>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E96A1C">
      <w:pPr>
        <w:pStyle w:val="a5"/>
        <w:numPr>
          <w:ilvl w:val="1"/>
          <w:numId w:val="3"/>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1"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1"/>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E96A1C">
      <w:pPr>
        <w:pStyle w:val="11"/>
        <w:numPr>
          <w:ilvl w:val="0"/>
          <w:numId w:val="2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 на брокерских счетах;</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E96A1C">
      <w:pPr>
        <w:pStyle w:val="11"/>
        <w:numPr>
          <w:ilvl w:val="0"/>
          <w:numId w:val="2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w:t>
      </w:r>
      <w:r w:rsidR="00AA40C4">
        <w:rPr>
          <w:rFonts w:eastAsia="Calibri"/>
          <w:szCs w:val="24"/>
          <w:lang w:eastAsia="en-US"/>
        </w:rPr>
        <w:t>,</w:t>
      </w:r>
      <w:r w:rsidR="00D322BD" w:rsidRPr="00772C5C">
        <w:rPr>
          <w:rFonts w:eastAsia="Calibri"/>
          <w:szCs w:val="24"/>
          <w:lang w:eastAsia="en-US"/>
        </w:rPr>
        <w:t xml:space="preserve">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2" w:name="_Toc74043314"/>
      <w:r w:rsidRPr="00B602F2">
        <w:t>Дебиторская задолженность по денежным средствам «в пути».</w:t>
      </w:r>
      <w:bookmarkEnd w:id="32"/>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3" w:name="_Toc74043316"/>
      <w:r w:rsidRPr="00B602F2">
        <w:rPr>
          <w:rFonts w:eastAsia="Calibri"/>
          <w:lang w:eastAsia="en-US"/>
        </w:rPr>
        <w:t>Кредиторская задолженность.</w:t>
      </w:r>
      <w:bookmarkEnd w:id="33"/>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w:t>
      </w:r>
      <w:r w:rsidR="00AA40C4">
        <w:rPr>
          <w:szCs w:val="24"/>
        </w:rPr>
        <w:t xml:space="preserve"> </w:t>
      </w:r>
      <w:r>
        <w:rPr>
          <w:szCs w:val="24"/>
        </w:rPr>
        <w:t xml:space="preserve">(например, сформирован новый ПИФ или заключен новый договор), то величина обязательства принимается к учету по факту получения документов. При </w:t>
      </w:r>
      <w:r w:rsidR="00AA40C4">
        <w:rPr>
          <w:szCs w:val="24"/>
        </w:rPr>
        <w:t xml:space="preserve">наличии </w:t>
      </w:r>
      <w:r>
        <w:rPr>
          <w:szCs w:val="24"/>
        </w:rPr>
        <w:t>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оценивается по</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A52D50" w:rsidRDefault="00A52D50" w:rsidP="001C2B7D">
      <w:pPr>
        <w:pStyle w:val="11"/>
        <w:tabs>
          <w:tab w:val="left" w:pos="993"/>
        </w:tabs>
        <w:ind w:left="0"/>
        <w:jc w:val="both"/>
        <w:rPr>
          <w:b/>
          <w:szCs w:val="24"/>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644427"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644427"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644427"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644427"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rsidR="000E058F" w:rsidRDefault="000E058F" w:rsidP="0072342E">
      <w:pPr>
        <w:ind w:firstLine="426"/>
        <w:rPr>
          <w:szCs w:val="24"/>
        </w:rPr>
      </w:pPr>
    </w:p>
    <w:p w:rsidR="000E058F" w:rsidRDefault="0064442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644427"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64442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644427"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644427"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644427"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644427"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644427"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644427"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644427"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64442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4"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4"/>
      <w:r w:rsidR="00005D87">
        <w:t xml:space="preserve"> </w:t>
      </w:r>
    </w:p>
    <w:p w:rsidR="00EB1A03" w:rsidRDefault="00EB1A03" w:rsidP="0072342E">
      <w:pPr>
        <w:pStyle w:val="2"/>
      </w:pPr>
      <w:bookmarkStart w:id="35" w:name="_Toc74043318"/>
      <w:r w:rsidRPr="00EB1A03">
        <w:t>Общие положения</w:t>
      </w:r>
      <w:bookmarkEnd w:id="35"/>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E96A1C">
      <w:pPr>
        <w:pStyle w:val="a5"/>
        <w:numPr>
          <w:ilvl w:val="0"/>
          <w:numId w:val="34"/>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E96A1C">
      <w:pPr>
        <w:pStyle w:val="a5"/>
        <w:numPr>
          <w:ilvl w:val="0"/>
          <w:numId w:val="34"/>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E96A1C">
      <w:pPr>
        <w:pStyle w:val="a5"/>
        <w:numPr>
          <w:ilvl w:val="0"/>
          <w:numId w:val="3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E96A1C">
      <w:pPr>
        <w:pStyle w:val="a5"/>
        <w:numPr>
          <w:ilvl w:val="0"/>
          <w:numId w:val="3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D10479">
        <w:rPr>
          <w:rFonts w:ascii="Times New Roman" w:hAnsi="Times New Roman"/>
          <w:sz w:val="24"/>
          <w:szCs w:val="24"/>
        </w:rPr>
        <w:t>;</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6" w:name="_Toc74043319"/>
      <w:r w:rsidRPr="00EB1A03">
        <w:t>Термины и определения, используемые в настоящем Приложении</w:t>
      </w:r>
      <w:bookmarkEnd w:id="36"/>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rsidR="00934212" w:rsidRPr="00827CB3" w:rsidRDefault="00934212" w:rsidP="001C2B7D">
      <w:pPr>
        <w:jc w:val="both"/>
        <w:rPr>
          <w:b/>
          <w:szCs w:val="24"/>
        </w:rPr>
      </w:pPr>
      <w:r w:rsidRPr="00DB7AC2">
        <w:rPr>
          <w:b/>
          <w:szCs w:val="24"/>
        </w:rPr>
        <w:t>Безрисковая ставка</w:t>
      </w:r>
      <w:r w:rsidR="00AA40C4" w:rsidRPr="00827CB3">
        <w:rPr>
          <w:b/>
          <w:szCs w:val="24"/>
        </w:rPr>
        <w:t xml:space="preserve"> </w:t>
      </w:r>
      <w:r w:rsidR="004B69F0" w:rsidRPr="00827CB3">
        <w:rPr>
          <w:b/>
          <w:szCs w:val="24"/>
        </w:rPr>
        <w:t>(</w:t>
      </w:r>
      <w:r w:rsidR="004B69F0" w:rsidRPr="009A443F">
        <w:t>Значение срока ставки определяется до 4 знаков после запятой)</w:t>
      </w:r>
      <w:r w:rsidRPr="00DB7AC2">
        <w:rPr>
          <w:b/>
          <w:szCs w:val="24"/>
        </w:rPr>
        <w:t>:</w:t>
      </w:r>
    </w:p>
    <w:p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34212">
        <w:rPr>
          <w:rFonts w:ascii="Times New Roman" w:hAnsi="Times New Roman"/>
          <w:sz w:val="24"/>
          <w:szCs w:val="24"/>
        </w:rPr>
        <w:t>–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1 месяц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1</w:t>
      </w:r>
      <w:r w:rsidRPr="00906E53">
        <w:rPr>
          <w:rFonts w:ascii="Times New Roman" w:hAnsi="Times New Roman"/>
          <w:sz w:val="24"/>
          <w:szCs w:val="24"/>
        </w:rPr>
        <w:t xml:space="preserve"> месяц;</w:t>
      </w:r>
    </w:p>
    <w:p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3 месяца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3</w:t>
      </w:r>
      <w:r w:rsidRPr="00906E53">
        <w:rPr>
          <w:rFonts w:ascii="Times New Roman" w:hAnsi="Times New Roman"/>
          <w:sz w:val="24"/>
          <w:szCs w:val="24"/>
        </w:rPr>
        <w:t xml:space="preserve"> месяц</w:t>
      </w:r>
      <w:r>
        <w:rPr>
          <w:rFonts w:ascii="Times New Roman" w:hAnsi="Times New Roman"/>
          <w:sz w:val="24"/>
          <w:szCs w:val="24"/>
        </w:rPr>
        <w:t>а</w:t>
      </w:r>
      <w:r w:rsidRPr="00906E53">
        <w:rPr>
          <w:rFonts w:ascii="Times New Roman" w:hAnsi="Times New Roman"/>
          <w:sz w:val="24"/>
          <w:szCs w:val="24"/>
        </w:rPr>
        <w:t>;</w:t>
      </w:r>
    </w:p>
    <w:p w:rsidR="00120F99" w:rsidRP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6 месяцев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6</w:t>
      </w:r>
      <w:r w:rsidRPr="00906E53">
        <w:rPr>
          <w:rFonts w:ascii="Times New Roman" w:hAnsi="Times New Roman"/>
          <w:sz w:val="24"/>
          <w:szCs w:val="24"/>
        </w:rPr>
        <w:t xml:space="preserve"> месяц</w:t>
      </w:r>
      <w:r>
        <w:rPr>
          <w:rFonts w:ascii="Times New Roman" w:hAnsi="Times New Roman"/>
          <w:sz w:val="24"/>
          <w:szCs w:val="24"/>
        </w:rPr>
        <w:t>ев</w:t>
      </w:r>
      <w:r w:rsidRPr="00906E53">
        <w:rPr>
          <w:rFonts w:ascii="Times New Roman" w:hAnsi="Times New Roman"/>
          <w:sz w:val="24"/>
          <w:szCs w:val="24"/>
        </w:rPr>
        <w:t>;</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w:t>
      </w:r>
      <w:r w:rsidR="00120F99">
        <w:rPr>
          <w:rFonts w:ascii="Times New Roman" w:hAnsi="Times New Roman"/>
          <w:sz w:val="24"/>
          <w:szCs w:val="24"/>
          <w:lang w:val="en-US"/>
        </w:rPr>
        <w:t>RUONIA</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120F99">
        <w:rPr>
          <w:rFonts w:ascii="Times New Roman" w:hAnsi="Times New Roman"/>
          <w:sz w:val="24"/>
          <w:szCs w:val="24"/>
          <w:lang w:val="en-US"/>
        </w:rPr>
        <w:t>RUONIA</w:t>
      </w:r>
      <w:r w:rsidRPr="00906E53">
        <w:rPr>
          <w:rFonts w:ascii="Times New Roman" w:hAnsi="Times New Roman"/>
          <w:sz w:val="24"/>
          <w:szCs w:val="24"/>
        </w:rPr>
        <w:t xml:space="preserv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rsid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DB7AC2" w:rsidRPr="00934212" w:rsidRDefault="00DB7AC2" w:rsidP="001C2B7D">
      <w:pPr>
        <w:pStyle w:val="a5"/>
        <w:spacing w:line="240" w:lineRule="auto"/>
        <w:ind w:left="0" w:firstLine="709"/>
        <w:rPr>
          <w:rFonts w:ascii="Times New Roman" w:hAnsi="Times New Roman"/>
          <w:sz w:val="24"/>
          <w:szCs w:val="24"/>
        </w:rPr>
      </w:pPr>
    </w:p>
    <w:p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2417B2" w:rsidRDefault="002417B2" w:rsidP="002417B2">
      <w:pPr>
        <w:jc w:val="both"/>
        <w:rPr>
          <w:szCs w:val="24"/>
        </w:rPr>
      </w:pPr>
    </w:p>
    <w:p w:rsidR="002417B2" w:rsidRDefault="002417B2" w:rsidP="002417B2">
      <w:pPr>
        <w:jc w:val="both"/>
        <w:rPr>
          <w:szCs w:val="24"/>
        </w:rPr>
      </w:pPr>
    </w:p>
    <w:p w:rsidR="002417B2" w:rsidRDefault="002417B2" w:rsidP="002417B2">
      <w:pPr>
        <w:jc w:val="both"/>
        <w:rPr>
          <w:szCs w:val="24"/>
        </w:rPr>
      </w:pPr>
    </w:p>
    <w:p w:rsidR="002417B2" w:rsidRPr="002417B2" w:rsidRDefault="002417B2" w:rsidP="002417B2">
      <w:pPr>
        <w:jc w:val="both"/>
        <w:rPr>
          <w:szCs w:val="24"/>
        </w:rPr>
      </w:pP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644427"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«Национальное Рейтинговое Агентство»</w:t>
      </w:r>
      <w:r w:rsidRPr="00AF2C44">
        <w:rPr>
          <w:rFonts w:eastAsia="Calibri"/>
          <w:szCs w:val="24"/>
          <w:lang w:eastAsia="en-US"/>
        </w:rPr>
        <w:tab/>
        <w:t>(ООО «НРА»)</w:t>
      </w:r>
    </w:p>
    <w:p w:rsidR="00EB7FD0"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E96A1C">
      <w:pPr>
        <w:numPr>
          <w:ilvl w:val="0"/>
          <w:numId w:val="28"/>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E96A1C">
      <w:pPr>
        <w:numPr>
          <w:ilvl w:val="0"/>
          <w:numId w:val="28"/>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644427"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7" w:name="_Toc74043320"/>
      <w:r w:rsidRPr="00CC6B22">
        <w:t>Раздел 1. Стандартные активы (без признаков обесценения)</w:t>
      </w:r>
      <w:bookmarkEnd w:id="37"/>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38" w:name="_Toc74043321"/>
      <w:r w:rsidRPr="00CC6B22">
        <w:t>Раздел 2. Оценка активов. Обесценение без дефолта.</w:t>
      </w:r>
      <w:bookmarkEnd w:id="38"/>
    </w:p>
    <w:p w:rsidR="00906197" w:rsidRDefault="00906197" w:rsidP="00E96A1C">
      <w:pPr>
        <w:pStyle w:val="a5"/>
        <w:numPr>
          <w:ilvl w:val="1"/>
          <w:numId w:val="3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DB7AC2" w:rsidRPr="00CF2CDE" w:rsidRDefault="00DB7AC2" w:rsidP="009A443F">
      <w:pPr>
        <w:pStyle w:val="a5"/>
        <w:spacing w:before="240" w:line="240" w:lineRule="auto"/>
        <w:ind w:left="0"/>
        <w:jc w:val="both"/>
        <w:rPr>
          <w:rFonts w:ascii="Times New Roman" w:hAnsi="Times New Roman"/>
          <w:sz w:val="24"/>
          <w:szCs w:val="24"/>
        </w:rPr>
      </w:pPr>
    </w:p>
    <w:p w:rsidR="00CE1F44" w:rsidRPr="008045DD" w:rsidRDefault="00CE1F44" w:rsidP="00E96A1C">
      <w:pPr>
        <w:pStyle w:val="a5"/>
        <w:numPr>
          <w:ilvl w:val="1"/>
          <w:numId w:val="3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DB7AC2" w:rsidRPr="00404E0B" w:rsidRDefault="00DB7AC2" w:rsidP="001C2B7D">
      <w:pPr>
        <w:jc w:val="both"/>
        <w:rPr>
          <w:szCs w:val="24"/>
        </w:rPr>
      </w:pPr>
    </w:p>
    <w:p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rsidR="00404E0B"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DB7AC2" w:rsidRPr="00242A29" w:rsidRDefault="00DB7AC2" w:rsidP="001C2B7D">
      <w:pPr>
        <w:rPr>
          <w:szCs w:val="24"/>
        </w:rPr>
      </w:pPr>
    </w:p>
    <w:p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11CD4" w:rsidRDefault="00242A29" w:rsidP="001C2B7D">
      <w:pPr>
        <w:rPr>
          <w:szCs w:val="24"/>
        </w:rPr>
      </w:pPr>
      <w:r w:rsidRPr="00211CD4">
        <w:rPr>
          <w:szCs w:val="24"/>
        </w:rPr>
        <w:t>2.</w:t>
      </w:r>
      <w:r w:rsidR="00BC36B8" w:rsidRPr="00211CD4">
        <w:rPr>
          <w:szCs w:val="24"/>
        </w:rPr>
        <w:t>4</w:t>
      </w:r>
      <w:r w:rsidRPr="00211CD4">
        <w:rPr>
          <w:szCs w:val="24"/>
        </w:rPr>
        <w:t xml:space="preserve">.1. </w:t>
      </w:r>
      <w:r w:rsidR="00211CD4" w:rsidRPr="00211CD4">
        <w:rPr>
          <w:szCs w:val="24"/>
        </w:rPr>
        <w:t>Мониторинг по финансовой отчетности проводится не позднее чем через 1 месяц после появления такой отчетности, но не реже чем 1 раз в полгода для отчетности по РСБУ и 1 раз в год для отчетности по МСФО</w:t>
      </w:r>
      <w:r w:rsidR="00211CD4" w:rsidRPr="00800856" w:rsidDel="00211CD4">
        <w:rPr>
          <w:szCs w:val="24"/>
        </w:rPr>
        <w:t xml:space="preserve"> </w:t>
      </w:r>
      <w:r w:rsidR="00BC36B8" w:rsidRPr="00211CD4">
        <w:rPr>
          <w:szCs w:val="24"/>
        </w:rPr>
        <w:t>2.4</w:t>
      </w:r>
      <w:r w:rsidRPr="00211CD4">
        <w:rPr>
          <w:szCs w:val="24"/>
        </w:rPr>
        <w:t xml:space="preserve">.2. </w:t>
      </w:r>
      <w:r w:rsidR="00404E0B" w:rsidRPr="00211CD4">
        <w:rPr>
          <w:szCs w:val="24"/>
        </w:rPr>
        <w:t>Мониторинг по рынку ценных бумаг проводится на ежедневной основе.</w:t>
      </w:r>
    </w:p>
    <w:p w:rsidR="00404E0B" w:rsidRPr="00211CD4" w:rsidRDefault="00BC36B8" w:rsidP="001C2B7D">
      <w:pPr>
        <w:rPr>
          <w:szCs w:val="24"/>
        </w:rPr>
      </w:pPr>
      <w:r w:rsidRPr="00211CD4">
        <w:rPr>
          <w:szCs w:val="24"/>
        </w:rPr>
        <w:t>2.4</w:t>
      </w:r>
      <w:r w:rsidR="00242A29" w:rsidRPr="00211CD4">
        <w:rPr>
          <w:szCs w:val="24"/>
        </w:rPr>
        <w:t>.3.</w:t>
      </w:r>
      <w:r w:rsidR="00404E0B" w:rsidRPr="00211CD4">
        <w:rPr>
          <w:szCs w:val="24"/>
        </w:rPr>
        <w:t>Мониторинг по физическим лицам проводится не реже чем раз в 6 месяцев</w:t>
      </w:r>
      <w:r w:rsidR="00AA40C4">
        <w:rPr>
          <w:szCs w:val="24"/>
        </w:rPr>
        <w:t>.</w:t>
      </w:r>
      <w:r w:rsidR="00AA40C4" w:rsidRPr="00211CD4">
        <w:rPr>
          <w:szCs w:val="24"/>
        </w:rPr>
        <w:t xml:space="preserve"> </w:t>
      </w:r>
    </w:p>
    <w:p w:rsidR="00CA6987" w:rsidRDefault="00BC36B8" w:rsidP="00800856">
      <w:pPr>
        <w:jc w:val="both"/>
        <w:rPr>
          <w:szCs w:val="24"/>
        </w:rPr>
      </w:pPr>
      <w:r w:rsidRPr="00211CD4">
        <w:rPr>
          <w:szCs w:val="24"/>
        </w:rPr>
        <w:t>2.4</w:t>
      </w:r>
      <w:r w:rsidR="00242A29" w:rsidRPr="00211CD4">
        <w:rPr>
          <w:szCs w:val="24"/>
        </w:rPr>
        <w:t xml:space="preserve">.4. </w:t>
      </w:r>
      <w:r w:rsidR="00211CD4" w:rsidRPr="00211CD4">
        <w:rPr>
          <w:szCs w:val="24"/>
        </w:rPr>
        <w:t>Мониторинг данных по судебным разбирательствам для юридических лиц проводится не реже 1 раза в месяц. В случае малой значимости актива по отношению к СЧА (менее 0,1% от СЧА) и по сумме (менее 100 000 руб.) мониторинг может</w:t>
      </w:r>
      <w:r w:rsidR="00211CD4" w:rsidRPr="005A6C5B">
        <w:rPr>
          <w:szCs w:val="24"/>
        </w:rPr>
        <w:t xml:space="preserve"> проводиться </w:t>
      </w:r>
      <w:r w:rsidR="00211CD4">
        <w:rPr>
          <w:szCs w:val="24"/>
        </w:rPr>
        <w:t xml:space="preserve">1 </w:t>
      </w:r>
      <w:r w:rsidR="00211CD4" w:rsidRPr="005A6C5B">
        <w:rPr>
          <w:szCs w:val="24"/>
        </w:rPr>
        <w:t xml:space="preserve">раз в </w:t>
      </w:r>
      <w:r w:rsidR="00211CD4" w:rsidRPr="00211CD4">
        <w:rPr>
          <w:szCs w:val="24"/>
        </w:rPr>
        <w:t>квартал</w:t>
      </w:r>
      <w:r w:rsidR="00404E0B" w:rsidRPr="00211CD4">
        <w:rPr>
          <w:szCs w:val="24"/>
        </w:rPr>
        <w:t>.</w:t>
      </w:r>
    </w:p>
    <w:p w:rsidR="002417B2" w:rsidRPr="00242A29" w:rsidRDefault="002417B2" w:rsidP="001C2B7D">
      <w:pPr>
        <w:rPr>
          <w:szCs w:val="24"/>
        </w:rPr>
      </w:pPr>
    </w:p>
    <w:p w:rsidR="00CA6987" w:rsidRPr="007F38DF" w:rsidRDefault="00CA6987" w:rsidP="00E96A1C">
      <w:pPr>
        <w:pStyle w:val="a5"/>
        <w:numPr>
          <w:ilvl w:val="1"/>
          <w:numId w:val="3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38246B" w:rsidRDefault="0038246B" w:rsidP="0072342E">
      <w:pPr>
        <w:jc w:val="both"/>
        <w:rPr>
          <w:szCs w:val="24"/>
        </w:rPr>
      </w:pPr>
    </w:p>
    <w:p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DB7AC2" w:rsidRPr="00BC36B8" w:rsidRDefault="00DB7AC2" w:rsidP="0072342E">
      <w:pPr>
        <w:jc w:val="both"/>
        <w:rPr>
          <w:szCs w:val="24"/>
        </w:rPr>
      </w:pPr>
    </w:p>
    <w:p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Default="00F416F3" w:rsidP="0072342E">
      <w:pPr>
        <w:pStyle w:val="2"/>
      </w:pPr>
      <w:bookmarkStart w:id="39"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39"/>
    </w:p>
    <w:p w:rsidR="002201AD" w:rsidRPr="002201AD" w:rsidRDefault="002201AD" w:rsidP="00800856">
      <w:pPr>
        <w:jc w:val="right"/>
      </w:pPr>
      <w:r>
        <w:t xml:space="preserve">Таблица 1 </w:t>
      </w:r>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rsidR="00AB247E" w:rsidRPr="00EA21F0" w:rsidRDefault="00AB247E" w:rsidP="002040D9">
            <w:pPr>
              <w:ind w:left="268"/>
              <w:jc w:val="center"/>
              <w:rPr>
                <w:color w:val="000000"/>
              </w:rPr>
            </w:pPr>
            <w:r>
              <w:t>25 рабочих</w:t>
            </w:r>
            <w:r w:rsidRPr="00DA7256">
              <w:t xml:space="preserve">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2040D9" w:rsidRDefault="002040D9" w:rsidP="00E94324">
            <w:pPr>
              <w:rPr>
                <w:color w:val="000000"/>
              </w:rPr>
            </w:pPr>
            <w:r w:rsidRPr="002040D9">
              <w:t>9</w:t>
            </w:r>
            <w:r>
              <w:t>0 дней</w:t>
            </w:r>
          </w:p>
        </w:tc>
      </w:tr>
    </w:tbl>
    <w:p w:rsidR="002417B2" w:rsidRDefault="002417B2" w:rsidP="008045DD">
      <w:pPr>
        <w:spacing w:after="52"/>
        <w:ind w:right="54"/>
        <w:jc w:val="both"/>
        <w:rPr>
          <w:b/>
          <w:color w:val="000000"/>
          <w:szCs w:val="24"/>
        </w:rPr>
      </w:pPr>
    </w:p>
    <w:p w:rsidR="0072342E" w:rsidRPr="00CF2CDE" w:rsidRDefault="00AB247E" w:rsidP="008045DD">
      <w:pPr>
        <w:spacing w:after="52"/>
        <w:ind w:right="54"/>
        <w:jc w:val="both"/>
        <w:rPr>
          <w:b/>
          <w:color w:val="000000"/>
          <w:szCs w:val="24"/>
        </w:rPr>
      </w:pPr>
      <w:r w:rsidRPr="001C2B7D">
        <w:rPr>
          <w:b/>
          <w:color w:val="000000"/>
          <w:szCs w:val="24"/>
        </w:rPr>
        <w:t xml:space="preserve">3.2. </w:t>
      </w:r>
      <w:r w:rsidR="002201AD" w:rsidRPr="00800856">
        <w:rPr>
          <w:b/>
          <w:color w:val="000000"/>
          <w:szCs w:val="24"/>
        </w:rPr>
        <w:t>В отношении юридических лиц к дефолту и приравниваемым к нему событиям относятся следующие</w:t>
      </w:r>
      <w:r w:rsidR="00C6552E" w:rsidRPr="001C2B7D">
        <w:rPr>
          <w:b/>
          <w:color w:val="000000"/>
          <w:szCs w:val="24"/>
        </w:rPr>
        <w:t>:</w:t>
      </w:r>
      <w:r w:rsidR="00C6552E" w:rsidRPr="00CF2CDE">
        <w:rPr>
          <w:b/>
          <w:color w:val="000000"/>
          <w:szCs w:val="24"/>
        </w:rPr>
        <w:t xml:space="preserve"> </w:t>
      </w:r>
    </w:p>
    <w:p w:rsidR="00C6552E" w:rsidRPr="001E2425" w:rsidRDefault="002201AD" w:rsidP="0072342E">
      <w:pPr>
        <w:jc w:val="both"/>
        <w:rPr>
          <w:color w:val="000000"/>
        </w:rPr>
      </w:pPr>
      <w:r>
        <w:rPr>
          <w:color w:val="000000"/>
        </w:rPr>
        <w:t>1.</w:t>
      </w:r>
      <w:r w:rsidR="00AB247E">
        <w:rPr>
          <w:color w:val="000000"/>
        </w:rPr>
        <w:t xml:space="preserve">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2201AD" w:rsidP="0072342E">
      <w:pPr>
        <w:jc w:val="both"/>
        <w:rPr>
          <w:color w:val="000000"/>
        </w:rPr>
      </w:pPr>
      <w:r>
        <w:rPr>
          <w:color w:val="000000"/>
        </w:rPr>
        <w:t>2.</w:t>
      </w:r>
      <w:r w:rsidR="00AB247E">
        <w:rPr>
          <w:color w:val="000000"/>
        </w:rPr>
        <w:t xml:space="preserve">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2201AD" w:rsidP="0072342E">
      <w:pPr>
        <w:jc w:val="both"/>
        <w:rPr>
          <w:color w:val="000000"/>
        </w:rPr>
      </w:pPr>
      <w:r>
        <w:rPr>
          <w:color w:val="000000"/>
        </w:rPr>
        <w:t>3</w:t>
      </w:r>
      <w:r w:rsidR="00AB247E">
        <w:rPr>
          <w:color w:val="000000"/>
        </w:rPr>
        <w:t>.</w:t>
      </w:r>
      <w:r>
        <w:rPr>
          <w:color w:val="000000"/>
        </w:rPr>
        <w:t xml:space="preserve"> </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2201AD" w:rsidP="0072342E">
      <w:pPr>
        <w:jc w:val="both"/>
        <w:rPr>
          <w:color w:val="000000"/>
        </w:rPr>
      </w:pPr>
      <w:r>
        <w:rPr>
          <w:color w:val="000000"/>
        </w:rPr>
        <w:t>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2201AD" w:rsidP="0072342E">
      <w:pPr>
        <w:jc w:val="both"/>
        <w:rPr>
          <w:color w:val="000000"/>
        </w:rPr>
      </w:pPr>
      <w:r>
        <w:rPr>
          <w:color w:val="000000"/>
        </w:rPr>
        <w:t>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2201AD" w:rsidP="0072342E">
      <w:pPr>
        <w:jc w:val="both"/>
        <w:rPr>
          <w:color w:val="000000"/>
        </w:rPr>
      </w:pPr>
      <w:r>
        <w:rPr>
          <w:color w:val="000000"/>
        </w:rPr>
        <w:t>6</w:t>
      </w:r>
      <w:r w:rsidR="00AB247E">
        <w:rPr>
          <w:color w:val="000000"/>
        </w:rPr>
        <w:t>.</w:t>
      </w:r>
      <w:r>
        <w:rPr>
          <w:color w:val="000000"/>
        </w:rPr>
        <w:t xml:space="preserve"> </w:t>
      </w:r>
      <w:r w:rsidR="000F3EBC" w:rsidRPr="00FD1449">
        <w:rPr>
          <w:color w:val="000000"/>
        </w:rPr>
        <w:t>присвоение заемщику/контрагенту рейтинга SD (Selected Default) или D (Default) со стороны рейтинговых агентств;</w:t>
      </w:r>
    </w:p>
    <w:p w:rsidR="00C6552E" w:rsidRDefault="002201AD" w:rsidP="0072342E">
      <w:pPr>
        <w:jc w:val="both"/>
        <w:rPr>
          <w:color w:val="000000"/>
        </w:rPr>
      </w:pPr>
      <w:r>
        <w:rPr>
          <w:color w:val="000000"/>
        </w:rPr>
        <w:t>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DB7AC2" w:rsidRPr="00FD1449" w:rsidRDefault="00DB7AC2" w:rsidP="0072342E">
      <w:pPr>
        <w:jc w:val="both"/>
        <w:rPr>
          <w:color w:val="000000"/>
        </w:rPr>
      </w:pP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w:t>
      </w:r>
      <w:r w:rsidR="0038246B">
        <w:rPr>
          <w:color w:val="000000"/>
        </w:rPr>
        <w:t>,</w:t>
      </w:r>
      <w:r w:rsidR="000F3EBC" w:rsidRPr="00FD1449">
        <w:rPr>
          <w:color w:val="000000"/>
        </w:rPr>
        <w:t xml:space="preserve"> не связанных с лишением свободы</w:t>
      </w:r>
      <w:r w:rsidR="0038246B">
        <w:rPr>
          <w:color w:val="000000"/>
        </w:rPr>
        <w:t>,</w:t>
      </w:r>
      <w:r w:rsidR="001E376B" w:rsidRPr="00FD1449">
        <w:rPr>
          <w:color w:val="000000"/>
        </w:rPr>
        <w:t xml:space="preserve"> или ограничениями</w:t>
      </w:r>
      <w:r w:rsidR="0038246B">
        <w:rPr>
          <w:color w:val="000000"/>
        </w:rPr>
        <w:t>,</w:t>
      </w:r>
      <w:r w:rsidR="001E376B" w:rsidRPr="00FD1449">
        <w:rPr>
          <w:color w:val="000000"/>
        </w:rPr>
        <w:t xml:space="preserve">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DB7AC2" w:rsidRPr="00FD1449" w:rsidRDefault="00DB7AC2" w:rsidP="0072342E">
      <w:pPr>
        <w:jc w:val="both"/>
        <w:rPr>
          <w:color w:val="000000"/>
        </w:rPr>
      </w:pP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 xml:space="preserve">В случае наступления событий, приравненных </w:t>
      </w:r>
      <w:r w:rsidR="0038246B">
        <w:rPr>
          <w:color w:val="000000"/>
        </w:rPr>
        <w:t>к</w:t>
      </w:r>
      <w:r w:rsidR="0038246B" w:rsidRPr="00FD1449">
        <w:rPr>
          <w:color w:val="000000"/>
        </w:rPr>
        <w:t xml:space="preserve"> </w:t>
      </w:r>
      <w:r w:rsidR="000F3EBC" w:rsidRPr="00FD1449">
        <w:rPr>
          <w:color w:val="000000"/>
        </w:rPr>
        <w:t>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2040D9" w:rsidDel="002040D9">
        <w:rPr>
          <w:color w:val="000000"/>
        </w:rPr>
        <w:t xml:space="preserve"> </w:t>
      </w: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DB7AC2" w:rsidRPr="00363749" w:rsidRDefault="00DB7AC2" w:rsidP="0072342E">
      <w:pPr>
        <w:jc w:val="both"/>
        <w:rPr>
          <w:color w:val="000000"/>
        </w:rPr>
      </w:pP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DB7AC2" w:rsidRPr="000926A9" w:rsidRDefault="00DB7AC2" w:rsidP="0072342E">
      <w:pPr>
        <w:jc w:val="both"/>
        <w:rPr>
          <w:color w:val="000000"/>
        </w:rPr>
      </w:pP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0"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0"/>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DB7AC2" w:rsidRPr="006749DA" w:rsidRDefault="00DB7AC2"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E327C5" w:rsidRDefault="002F7235" w:rsidP="001C2B7D">
      <w:pPr>
        <w:pStyle w:val="a5"/>
        <w:numPr>
          <w:ilvl w:val="2"/>
          <w:numId w:val="2"/>
        </w:numPr>
        <w:spacing w:line="240" w:lineRule="auto"/>
        <w:jc w:val="both"/>
        <w:rPr>
          <w:rFonts w:ascii="Times New Roman" w:hAnsi="Times New Roman"/>
          <w:color w:val="000000"/>
          <w:sz w:val="24"/>
          <w:szCs w:val="24"/>
        </w:rPr>
      </w:pPr>
      <w:r w:rsidRPr="00E94324">
        <w:rPr>
          <w:rFonts w:ascii="Times New Roman" w:hAnsi="Times New Roman"/>
          <w:color w:val="000000"/>
          <w:sz w:val="24"/>
          <w:szCs w:val="24"/>
        </w:rPr>
        <w:t xml:space="preserve">В случае наличия у контрагента рейтинга одного из российских рейтинговых агентств применяется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rStyle w:val="af"/>
          <w:rFonts w:ascii="Times New Roman" w:hAnsi="Times New Roman"/>
          <w:color w:val="000000"/>
          <w:sz w:val="24"/>
          <w:szCs w:val="24"/>
          <w:lang w:val="en-US"/>
        </w:rPr>
        <w:footnoteReference w:id="20"/>
      </w:r>
      <w:r w:rsidRPr="00E94324">
        <w:rPr>
          <w:rFonts w:ascii="Times New Roman" w:hAnsi="Times New Roman"/>
          <w:color w:val="000000"/>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w:t>
      </w:r>
      <w:r w:rsidR="004500B6" w:rsidRPr="004500B6">
        <w:rPr>
          <w:rFonts w:ascii="Times New Roman" w:hAnsi="Times New Roman"/>
          <w:color w:val="000000"/>
          <w:sz w:val="24"/>
          <w:szCs w:val="24"/>
        </w:rPr>
        <w:t>9</w:t>
      </w:r>
      <w:r w:rsidRPr="00E94324">
        <w:rPr>
          <w:rFonts w:ascii="Times New Roman" w:hAnsi="Times New Roman"/>
          <w:color w:val="000000"/>
          <w:sz w:val="24"/>
          <w:szCs w:val="24"/>
        </w:rPr>
        <w:t xml:space="preserve">. Для отобранного рейтинга от АО «Эксперт РА» выбирается соответствующее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w:t>
      </w:r>
    </w:p>
    <w:p w:rsidR="002F7235" w:rsidRPr="00E94324" w:rsidRDefault="002F7235" w:rsidP="00E94324">
      <w:pPr>
        <w:pStyle w:val="a5"/>
        <w:numPr>
          <w:ilvl w:val="2"/>
          <w:numId w:val="2"/>
        </w:numPr>
        <w:spacing w:line="240" w:lineRule="auto"/>
        <w:jc w:val="both"/>
        <w:rPr>
          <w:color w:val="000000"/>
          <w:sz w:val="24"/>
          <w:szCs w:val="24"/>
        </w:rPr>
      </w:pPr>
      <w:r w:rsidRPr="00E94324">
        <w:rPr>
          <w:rFonts w:ascii="Times New Roman" w:hAnsi="Times New Roman"/>
          <w:color w:val="000000"/>
          <w:sz w:val="24"/>
          <w:szCs w:val="24"/>
        </w:rPr>
        <w:t>В случае наличия у иностранного контрагента рейтинга одного из международных рейтинговых агентств – на основании публичных доступных данных по вероятностям дефолта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одного из международных рейтинговых агентств, указанных в Правилах определения СЧА – </w:t>
      </w:r>
      <w:r w:rsidRPr="00E94324">
        <w:rPr>
          <w:rFonts w:ascii="Times New Roman" w:hAnsi="Times New Roman"/>
          <w:color w:val="000000"/>
          <w:sz w:val="24"/>
          <w:szCs w:val="24"/>
          <w:lang w:val="en-US"/>
        </w:rPr>
        <w:t>Moody</w:t>
      </w:r>
      <w:r w:rsidRPr="00E94324">
        <w:rPr>
          <w:rFonts w:ascii="Times New Roman" w:hAnsi="Times New Roman"/>
          <w:color w:val="000000"/>
          <w:sz w:val="24"/>
          <w:szCs w:val="24"/>
        </w:rPr>
        <w:t>'</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 xml:space="preserve">, </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&amp;</w:t>
      </w:r>
      <w:r w:rsidRPr="00E94324">
        <w:rPr>
          <w:rFonts w:ascii="Times New Roman" w:hAnsi="Times New Roman"/>
          <w:color w:val="000000"/>
          <w:sz w:val="24"/>
          <w:szCs w:val="24"/>
          <w:lang w:val="en-US"/>
        </w:rPr>
        <w:t>P</w:t>
      </w:r>
      <w:r w:rsidRPr="00E94324">
        <w:rPr>
          <w:rFonts w:ascii="Times New Roman" w:hAnsi="Times New Roman"/>
          <w:color w:val="000000"/>
          <w:sz w:val="24"/>
          <w:szCs w:val="24"/>
        </w:rPr>
        <w:t xml:space="preserve"> или </w:t>
      </w:r>
      <w:r w:rsidRPr="00E94324">
        <w:rPr>
          <w:rFonts w:ascii="Times New Roman" w:hAnsi="Times New Roman"/>
          <w:color w:val="000000"/>
          <w:sz w:val="24"/>
          <w:szCs w:val="24"/>
          <w:lang w:val="en-US"/>
        </w:rPr>
        <w:t>Fitch</w:t>
      </w:r>
      <w:r w:rsidRPr="00E94324">
        <w:rPr>
          <w:rFonts w:ascii="Times New Roman" w:hAnsi="Times New Roman"/>
          <w:color w:val="000000"/>
          <w:sz w:val="24"/>
          <w:szCs w:val="24"/>
        </w:rPr>
        <w:t xml:space="preserve">, публикуемых на сайте соответствующего агентства в составе ежегодного отчета с применением соответствия уровней рейтингов.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определяется величина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 </w:t>
      </w: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9A443F" w:rsidRDefault="00AD55BF" w:rsidP="001C2B7D">
      <w:pPr>
        <w:pStyle w:val="a5"/>
        <w:numPr>
          <w:ilvl w:val="2"/>
          <w:numId w:val="2"/>
        </w:numPr>
        <w:spacing w:line="240" w:lineRule="auto"/>
        <w:jc w:val="both"/>
        <w:rPr>
          <w:rFonts w:ascii="Times New Roman" w:hAnsi="Times New Roman"/>
          <w:color w:val="000000"/>
          <w:sz w:val="24"/>
          <w:szCs w:val="24"/>
        </w:rPr>
      </w:pPr>
      <w:r w:rsidRPr="009A443F">
        <w:rPr>
          <w:rFonts w:ascii="Times New Roman" w:hAnsi="Times New Roman"/>
          <w:color w:val="000000"/>
          <w:sz w:val="24"/>
          <w:szCs w:val="24"/>
        </w:rPr>
        <w:t xml:space="preserve">При отсутствии </w:t>
      </w:r>
      <w:r w:rsidR="0061623E" w:rsidRPr="009A443F">
        <w:rPr>
          <w:rFonts w:ascii="Times New Roman" w:hAnsi="Times New Roman"/>
          <w:color w:val="000000"/>
          <w:sz w:val="24"/>
          <w:szCs w:val="24"/>
        </w:rPr>
        <w:t xml:space="preserve">у контрагента </w:t>
      </w:r>
      <w:r w:rsidRPr="009A443F">
        <w:rPr>
          <w:rFonts w:ascii="Times New Roman" w:hAnsi="Times New Roman"/>
          <w:color w:val="000000"/>
          <w:sz w:val="24"/>
          <w:szCs w:val="24"/>
        </w:rPr>
        <w:t>кредитного рейтинга и отсутствии выпусков облигаций</w:t>
      </w:r>
      <w:r w:rsidR="0061623E" w:rsidRPr="009A443F">
        <w:rPr>
          <w:rFonts w:ascii="Times New Roman" w:hAnsi="Times New Roman"/>
          <w:color w:val="000000"/>
          <w:sz w:val="24"/>
          <w:szCs w:val="24"/>
        </w:rPr>
        <w:t xml:space="preserve"> в следующем порядке</w:t>
      </w:r>
      <w:r w:rsidRPr="009A443F">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644427"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4500B6">
        <w:rPr>
          <w:rFonts w:ascii="Times New Roman" w:hAnsi="Times New Roman"/>
          <w:color w:val="000000"/>
          <w:sz w:val="24"/>
          <w:szCs w:val="24"/>
        </w:rPr>
        <w:t>1</w:t>
      </w:r>
      <w:r w:rsidR="0031618A" w:rsidRPr="004C6C12">
        <w:rPr>
          <w:rFonts w:ascii="Times New Roman" w:hAnsi="Times New Roman"/>
          <w:color w:val="000000"/>
          <w:sz w:val="24"/>
          <w:szCs w:val="24"/>
        </w:rPr>
        <w:t xml:space="preserve"> из </w:t>
      </w:r>
      <w:r w:rsidRPr="004C6C12">
        <w:rPr>
          <w:rFonts w:ascii="Times New Roman" w:hAnsi="Times New Roman"/>
          <w:color w:val="000000"/>
          <w:sz w:val="24"/>
          <w:szCs w:val="24"/>
        </w:rPr>
        <w:t>Приложения</w:t>
      </w:r>
      <w:r w:rsidR="004500B6">
        <w:rPr>
          <w:rFonts w:ascii="Times New Roman" w:hAnsi="Times New Roman"/>
          <w:color w:val="000000"/>
          <w:sz w:val="24"/>
          <w:szCs w:val="24"/>
        </w:rPr>
        <w:t xml:space="preserve"> 9</w:t>
      </w:r>
      <w:r w:rsidRPr="004C6C12">
        <w:rPr>
          <w:rFonts w:ascii="Times New Roman" w:hAnsi="Times New Roman"/>
          <w:color w:val="000000"/>
          <w:sz w:val="24"/>
          <w:szCs w:val="24"/>
        </w:rPr>
        <w:t>.</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E96A1C">
      <w:pPr>
        <w:pStyle w:val="a5"/>
        <w:numPr>
          <w:ilvl w:val="0"/>
          <w:numId w:val="37"/>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E96A1C">
      <w:pPr>
        <w:pStyle w:val="a5"/>
        <w:numPr>
          <w:ilvl w:val="0"/>
          <w:numId w:val="37"/>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DB7AC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p>
    <w:p w:rsidR="0031618A" w:rsidRPr="004C6C12" w:rsidRDefault="0031618A" w:rsidP="0072342E">
      <w:pPr>
        <w:ind w:firstLine="708"/>
        <w:jc w:val="both"/>
        <w:rPr>
          <w:color w:val="000000"/>
          <w:szCs w:val="24"/>
        </w:rPr>
      </w:pP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1" w:name="_Toc74043324"/>
      <w:r w:rsidRPr="005A6C5B">
        <w:t>Раздел 5.  Расчет LGD</w:t>
      </w:r>
      <w:bookmarkEnd w:id="41"/>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t xml:space="preserve">                                                                                                                               </w:t>
      </w:r>
      <w:bookmarkStart w:id="42"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2"/>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bl>
    <w:p w:rsidR="00C41500" w:rsidRPr="007222E4" w:rsidRDefault="00C41500" w:rsidP="0072342E">
      <w:pPr>
        <w:ind w:left="4820"/>
        <w:jc w:val="both"/>
        <w:rPr>
          <w:b/>
          <w:szCs w:val="24"/>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6"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7"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8"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89"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0"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1"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2"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800856"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https://www.ra-national.ru/</w:t>
      </w:r>
      <w:r>
        <w:rPr>
          <w:rFonts w:eastAsiaTheme="minorHAnsi"/>
          <w:szCs w:val="24"/>
          <w:lang w:eastAsia="en-US"/>
        </w:rPr>
        <w:t>;</w:t>
      </w:r>
    </w:p>
    <w:p w:rsidR="00800856" w:rsidRPr="001F6755"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3"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4"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5"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6" w:history="1">
        <w:r w:rsidRPr="001F6755">
          <w:rPr>
            <w:rFonts w:eastAsiaTheme="minorHAnsi"/>
            <w:color w:val="0000FF" w:themeColor="hyperlink"/>
            <w:szCs w:val="24"/>
            <w:u w:val="single"/>
            <w:lang w:eastAsia="en-US"/>
          </w:rPr>
          <w:t>https://bankruptcy.kommersant.ru</w:t>
        </w:r>
      </w:hyperlink>
    </w:p>
    <w:p w:rsidR="00585C5E" w:rsidRDefault="001F6755" w:rsidP="00827CB3">
      <w:pPr>
        <w:pStyle w:val="affb"/>
      </w:pPr>
      <w:r w:rsidRPr="001F6755">
        <w:rPr>
          <w:rFonts w:eastAsiaTheme="minorHAnsi"/>
          <w:lang w:eastAsia="en-US"/>
        </w:rPr>
        <w:br w:type="page"/>
      </w:r>
      <w:bookmarkStart w:id="43" w:name="_Toc66447217"/>
      <w:r w:rsidR="005D27E1">
        <w:t xml:space="preserve">                                                                                                                            </w:t>
      </w:r>
      <w:bookmarkStart w:id="44" w:name="_Toc74043327"/>
      <w:bookmarkEnd w:id="43"/>
      <w:r w:rsidR="003A6C53" w:rsidRPr="005D27E1">
        <w:t xml:space="preserve">Приложение </w:t>
      </w:r>
      <w:r w:rsidR="0034354F">
        <w:t>5</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4"/>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E96A1C">
      <w:pPr>
        <w:numPr>
          <w:ilvl w:val="1"/>
          <w:numId w:val="23"/>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E96A1C">
      <w:pPr>
        <w:numPr>
          <w:ilvl w:val="1"/>
          <w:numId w:val="23"/>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77 Аренда и лизинг</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t xml:space="preserve">Приложение </w:t>
      </w:r>
      <w:r w:rsidR="0034354F">
        <w:rPr>
          <w:b/>
          <w:color w:val="000000"/>
          <w:szCs w:val="22"/>
        </w:rPr>
        <w:t>6</w:t>
      </w:r>
      <w:r w:rsidRPr="00585C5E">
        <w:rPr>
          <w:b/>
          <w:color w:val="000000"/>
          <w:szCs w:val="22"/>
        </w:rPr>
        <w:t xml:space="preserve">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5" w:name="_Toc74043328"/>
      <w:r>
        <w:br w:type="page"/>
      </w:r>
    </w:p>
    <w:p w:rsidR="00585C5E" w:rsidRDefault="00AC6698" w:rsidP="00585C5E">
      <w:pPr>
        <w:pStyle w:val="affb"/>
      </w:pPr>
      <w:r w:rsidRPr="00207827">
        <w:t xml:space="preserve">Приложение </w:t>
      </w:r>
      <w:r w:rsidR="00190171">
        <w:t>7</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5"/>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E96A1C">
      <w:pPr>
        <w:numPr>
          <w:ilvl w:val="0"/>
          <w:numId w:val="25"/>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E96A1C">
      <w:pPr>
        <w:numPr>
          <w:ilvl w:val="0"/>
          <w:numId w:val="25"/>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E96A1C">
      <w:pPr>
        <w:numPr>
          <w:ilvl w:val="0"/>
          <w:numId w:val="25"/>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6F6BD1" w:rsidRDefault="006F6BD1" w:rsidP="00E96A1C">
      <w:pPr>
        <w:numPr>
          <w:ilvl w:val="0"/>
          <w:numId w:val="25"/>
        </w:numPr>
        <w:spacing w:after="76"/>
        <w:ind w:right="45" w:hanging="360"/>
        <w:jc w:val="both"/>
        <w:rPr>
          <w:color w:val="000000"/>
          <w:szCs w:val="22"/>
        </w:rPr>
        <w:sectPr w:rsidR="006F6BD1" w:rsidSect="006B6937">
          <w:footerReference w:type="default" r:id="rId97"/>
          <w:pgSz w:w="11906" w:h="16838"/>
          <w:pgMar w:top="851" w:right="1758" w:bottom="851" w:left="851" w:header="709" w:footer="709" w:gutter="0"/>
          <w:cols w:space="708"/>
          <w:docGrid w:linePitch="360"/>
        </w:sectPr>
      </w:pPr>
    </w:p>
    <w:p w:rsidR="00AC6698" w:rsidRPr="00AC6698" w:rsidRDefault="00AC6698" w:rsidP="0055357F">
      <w:pPr>
        <w:spacing w:after="76"/>
        <w:ind w:left="705" w:right="45"/>
        <w:jc w:val="both"/>
        <w:rPr>
          <w:color w:val="000000"/>
          <w:szCs w:val="22"/>
        </w:rPr>
      </w:pPr>
    </w:p>
    <w:p w:rsidR="00AC6698" w:rsidRPr="006F6BD1" w:rsidRDefault="00AC6698" w:rsidP="001C2B7D">
      <w:pPr>
        <w:ind w:left="3416"/>
        <w:rPr>
          <w:b/>
          <w:color w:val="000000"/>
          <w:sz w:val="20"/>
        </w:rPr>
      </w:pPr>
      <w:r w:rsidRPr="006F6BD1">
        <w:rPr>
          <w:b/>
          <w:color w:val="000000"/>
          <w:sz w:val="20"/>
        </w:rPr>
        <w:t xml:space="preserve"> </w:t>
      </w:r>
      <w:r w:rsidR="006F6BD1" w:rsidRPr="006F6BD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2542AB">
        <w:tblPrEx>
          <w:tblCellMar>
            <w:top w:w="7" w:type="dxa"/>
            <w:right w:w="43" w:type="dxa"/>
          </w:tblCellMar>
        </w:tblPrEx>
        <w:trPr>
          <w:trHeight w:val="562"/>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2542AB">
        <w:tblPrEx>
          <w:tblCellMar>
            <w:top w:w="7" w:type="dxa"/>
            <w:right w:w="43" w:type="dxa"/>
          </w:tblCellMar>
        </w:tblPrEx>
        <w:trPr>
          <w:trHeight w:val="2151"/>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2542AB">
        <w:tblPrEx>
          <w:tblCellMar>
            <w:top w:w="7" w:type="dxa"/>
            <w:right w:w="43" w:type="dxa"/>
          </w:tblCellMar>
        </w:tblPrEx>
        <w:trPr>
          <w:trHeight w:val="118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2542AB">
        <w:tblPrEx>
          <w:tblCellMar>
            <w:top w:w="7" w:type="dxa"/>
            <w:right w:w="43" w:type="dxa"/>
          </w:tblCellMar>
        </w:tblPrEx>
        <w:trPr>
          <w:trHeight w:val="139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r w:rsidR="002542AB" w:rsidRPr="00585C5E">
              <w:rPr>
                <w:color w:val="000000"/>
                <w:sz w:val="20"/>
                <w:szCs w:val="20"/>
              </w:rPr>
              <w:t>возникновения (с учетом срока пролонгации и перезаключений договоров).</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E96A1C">
      <w:pPr>
        <w:numPr>
          <w:ilvl w:val="0"/>
          <w:numId w:val="26"/>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E96A1C">
      <w:pPr>
        <w:numPr>
          <w:ilvl w:val="0"/>
          <w:numId w:val="26"/>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E96A1C">
      <w:pPr>
        <w:numPr>
          <w:ilvl w:val="0"/>
          <w:numId w:val="27"/>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E96A1C">
      <w:pPr>
        <w:numPr>
          <w:ilvl w:val="0"/>
          <w:numId w:val="27"/>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6" w:name="приложение_5"/>
      <w:r>
        <w:rPr>
          <w:b w:val="0"/>
        </w:rPr>
        <w:t xml:space="preserve">  </w:t>
      </w:r>
      <w:r w:rsidR="000A0776">
        <w:rPr>
          <w:b w:val="0"/>
        </w:rPr>
        <w:t xml:space="preserve">                               </w:t>
      </w:r>
    </w:p>
    <w:p w:rsidR="00AB5DD7" w:rsidRDefault="004A5053" w:rsidP="00CC3A0D">
      <w:pPr>
        <w:pStyle w:val="affb"/>
      </w:pPr>
      <w:r>
        <w:rPr>
          <w:b w:val="0"/>
        </w:rPr>
        <w:tab/>
      </w:r>
      <w:r>
        <w:rPr>
          <w:b w:val="0"/>
        </w:rPr>
        <w:tab/>
      </w:r>
      <w:bookmarkStart w:id="47" w:name="_Toc74043329"/>
      <w:r w:rsidRPr="004A5053">
        <w:t xml:space="preserve">Приложение </w:t>
      </w:r>
      <w:r w:rsidR="00190171">
        <w:t>8</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7"/>
    </w:p>
    <w:p w:rsidR="004A5053" w:rsidRPr="004A5053" w:rsidRDefault="004A5053" w:rsidP="001C2B7D">
      <w:pPr>
        <w:jc w:val="right"/>
        <w:rPr>
          <w:rFonts w:eastAsia="Calibri"/>
          <w:b/>
          <w:szCs w:val="24"/>
          <w:lang w:eastAsia="en-US"/>
        </w:rPr>
      </w:pPr>
    </w:p>
    <w:p w:rsidR="004A5053" w:rsidRPr="004A5053" w:rsidRDefault="004A5053" w:rsidP="00E96A1C">
      <w:pPr>
        <w:numPr>
          <w:ilvl w:val="0"/>
          <w:numId w:val="14"/>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2D11F0C8">
          <v:shape id="_x0000_i1073" type="#_x0000_t75" style="width:11.25pt;height:18.75pt" o:ole="">
            <v:imagedata r:id="rId98" o:title=""/>
          </v:shape>
          <o:OLEObject Type="Embed" ProgID="Equation.3" ShapeID="_x0000_i1073" DrawAspect="Content" ObjectID="_1769426112" r:id="rId99"/>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244F056B">
          <v:shape id="_x0000_i1074" type="#_x0000_t75" style="width:16.5pt;height:18.75pt" o:ole="">
            <v:imagedata r:id="rId100" o:title=""/>
          </v:shape>
          <o:OLEObject Type="Embed" ProgID="Equation.3" ShapeID="_x0000_i1074" DrawAspect="Content" ObjectID="_1769426113" r:id="rId101"/>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6"/>
    </w:p>
    <w:p w:rsidR="00513389" w:rsidRDefault="00513389" w:rsidP="00E96A1C">
      <w:pPr>
        <w:numPr>
          <w:ilvl w:val="0"/>
          <w:numId w:val="14"/>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2C1C85" w:rsidRPr="007222E4" w:rsidRDefault="002C1C85" w:rsidP="007222E4">
      <w:pPr>
        <w:pStyle w:val="a5"/>
        <w:numPr>
          <w:ilvl w:val="0"/>
          <w:numId w:val="95"/>
        </w:numPr>
        <w:tabs>
          <w:tab w:val="left" w:pos="993"/>
        </w:tabs>
        <w:spacing w:before="120"/>
        <w:jc w:val="both"/>
        <w:rPr>
          <w:rFonts w:eastAsia="Batang"/>
          <w:color w:val="000000"/>
          <w:szCs w:val="24"/>
        </w:rPr>
      </w:pPr>
      <w:r w:rsidRPr="007222E4">
        <w:rPr>
          <w:rFonts w:ascii="Times New Roman" w:eastAsia="Batang" w:hAnsi="Times New Roman"/>
          <w:color w:val="000000"/>
          <w:szCs w:val="24"/>
        </w:rPr>
        <w:t>Дату вступления в силу изменений договора в части ключевых параметров</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7222E4" w:rsidRDefault="007222E4" w:rsidP="007222E4">
      <w:pPr>
        <w:tabs>
          <w:tab w:val="left" w:pos="567"/>
        </w:tabs>
        <w:ind w:left="567"/>
        <w:contextualSpacing/>
        <w:jc w:val="both"/>
        <w:rPr>
          <w:rFonts w:eastAsia="Batang"/>
          <w:color w:val="000000"/>
          <w:szCs w:val="24"/>
        </w:rPr>
      </w:pPr>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 xml:space="preserve">ОКРУГЛ ( </m:t>
        </m:r>
        <m:rad>
          <m:radPr>
            <m:degHide m:val="1"/>
            <m:ctrlPr>
              <w:rPr>
                <w:rFonts w:ascii="Cambria Math" w:hAnsi="Cambria Math"/>
                <w:color w:val="000000"/>
                <w:sz w:val="22"/>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rPr>
                      <m:t>)</m:t>
                    </m:r>
                  </m:e>
                  <m:sup>
                    <m:r>
                      <w:rPr>
                        <w:rFonts w:ascii="Cambria Math" w:hAnsi="Cambria Math"/>
                        <w:color w:val="000000"/>
                        <w:szCs w:val="24"/>
                      </w:rPr>
                      <m:t>2</m:t>
                    </m:r>
                  </m:sup>
                </m:sSup>
              </m:num>
              <m:den>
                <m:r>
                  <w:rPr>
                    <w:rFonts w:ascii="Cambria Math" w:hAnsi="Cambria Math"/>
                    <w:color w:val="000000"/>
                    <w:szCs w:val="24"/>
                  </w:rPr>
                  <m:t>3</m:t>
                </m:r>
              </m:den>
            </m:f>
          </m:e>
        </m:rad>
      </m:oMath>
      <w:r>
        <w:rPr>
          <w:rFonts w:eastAsia="Batang"/>
          <w:color w:val="000000"/>
          <w:sz w:val="22"/>
          <w:szCs w:val="24"/>
        </w:rPr>
        <w:t>; 2)</w:t>
      </w:r>
    </w:p>
    <w:p w:rsidR="007222E4" w:rsidRDefault="007222E4" w:rsidP="007222E4">
      <w:pPr>
        <w:tabs>
          <w:tab w:val="left" w:pos="567"/>
        </w:tabs>
        <w:ind w:left="567"/>
        <w:contextualSpacing/>
        <w:jc w:val="both"/>
        <w:rPr>
          <w:rFonts w:eastAsia="Batang"/>
          <w:color w:val="000000"/>
          <w:szCs w:val="24"/>
        </w:rPr>
      </w:pPr>
    </w:p>
    <w:p w:rsidR="00C67501" w:rsidRPr="00B14325" w:rsidRDefault="00C67501" w:rsidP="007222E4">
      <w:pPr>
        <w:tabs>
          <w:tab w:val="left" w:pos="567"/>
        </w:tabs>
        <w:ind w:left="567"/>
        <w:contextualSpacing/>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644427"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644427"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Default="00EA72B7"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E327C5" w:rsidRDefault="00E327C5" w:rsidP="001C2B7D">
      <w:pPr>
        <w:tabs>
          <w:tab w:val="left" w:pos="993"/>
        </w:tabs>
        <w:jc w:val="both"/>
        <w:rPr>
          <w:rFonts w:eastAsia="Batang"/>
          <w:sz w:val="22"/>
        </w:rPr>
      </w:pPr>
    </w:p>
    <w:p w:rsidR="00135E1E" w:rsidRDefault="00135E1E" w:rsidP="001C2B7D">
      <w:pPr>
        <w:tabs>
          <w:tab w:val="left" w:pos="993"/>
        </w:tabs>
        <w:jc w:val="both"/>
        <w:rPr>
          <w:rFonts w:eastAsia="Batang"/>
          <w:sz w:val="22"/>
        </w:rPr>
      </w:pPr>
    </w:p>
    <w:p w:rsidR="00135E1E" w:rsidRDefault="00135E1E" w:rsidP="00135E1E">
      <w:pPr>
        <w:pStyle w:val="affb"/>
      </w:pPr>
      <w:r w:rsidRPr="004A5053">
        <w:t xml:space="preserve">Приложение </w:t>
      </w:r>
      <w:r w:rsidR="004500B6">
        <w:t>9</w:t>
      </w:r>
    </w:p>
    <w:p w:rsidR="00135E1E" w:rsidRPr="004500B6" w:rsidRDefault="004500B6" w:rsidP="00E94324">
      <w:pPr>
        <w:pStyle w:val="affb"/>
        <w:jc w:val="center"/>
      </w:pPr>
      <w:r w:rsidRPr="00E94324">
        <w:rPr>
          <w:bCs/>
          <w:sz w:val="23"/>
          <w:szCs w:val="23"/>
        </w:rPr>
        <w:t>Соответствие шкал рейтингов различных рейтинговых агентств</w:t>
      </w:r>
    </w:p>
    <w:p w:rsidR="00E327C5" w:rsidRDefault="00E327C5" w:rsidP="001C2B7D">
      <w:pPr>
        <w:tabs>
          <w:tab w:val="left" w:pos="993"/>
        </w:tabs>
        <w:jc w:val="both"/>
        <w:rPr>
          <w:rFonts w:eastAsia="Batang"/>
          <w:sz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701"/>
        <w:gridCol w:w="1559"/>
        <w:gridCol w:w="1276"/>
        <w:gridCol w:w="1134"/>
        <w:gridCol w:w="1130"/>
      </w:tblGrid>
      <w:tr w:rsidR="00135E1E" w:rsidRPr="00E327C5" w:rsidTr="005F33F6">
        <w:trPr>
          <w:trHeight w:val="24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АКРА (АО)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АО «Эксперт РА»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«НКР»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«НРА»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Moody`s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S&amp;P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Fitch </w:t>
            </w:r>
          </w:p>
        </w:tc>
      </w:tr>
      <w:tr w:rsidR="004500B6" w:rsidRPr="00E327C5" w:rsidTr="005F33F6">
        <w:trPr>
          <w:trHeight w:val="90"/>
        </w:trPr>
        <w:tc>
          <w:tcPr>
            <w:tcW w:w="6912" w:type="dxa"/>
            <w:gridSpan w:val="4"/>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Национальная шкала для Российской Федерации</w:t>
            </w:r>
          </w:p>
        </w:tc>
        <w:tc>
          <w:tcPr>
            <w:tcW w:w="3540" w:type="dxa"/>
            <w:gridSpan w:val="3"/>
          </w:tcPr>
          <w:p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Международная шкала</w:t>
            </w:r>
          </w:p>
        </w:tc>
      </w:tr>
      <w:tr w:rsidR="004500B6" w:rsidRPr="00E327C5" w:rsidTr="005F33F6">
        <w:trPr>
          <w:trHeight w:val="10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ruAAA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r>
      <w:tr w:rsidR="004500B6" w:rsidRPr="00E327C5" w:rsidTr="005F33F6">
        <w:trPr>
          <w:trHeight w:val="253"/>
        </w:trPr>
        <w:tc>
          <w:tcPr>
            <w:tcW w:w="15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ruAA</w:t>
            </w:r>
          </w:p>
        </w:tc>
        <w:tc>
          <w:tcPr>
            <w:tcW w:w="1701"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5F33F6">
        <w:trPr>
          <w:trHeight w:val="253"/>
        </w:trPr>
        <w:tc>
          <w:tcPr>
            <w:tcW w:w="15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2126"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w:t>
            </w:r>
          </w:p>
        </w:tc>
        <w:tc>
          <w:tcPr>
            <w:tcW w:w="1701"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559" w:type="dxa"/>
          </w:tcPr>
          <w:p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5F33F6">
        <w:trPr>
          <w:trHeight w:val="109"/>
        </w:trPr>
        <w:tc>
          <w:tcPr>
            <w:tcW w:w="1526" w:type="dxa"/>
          </w:tcPr>
          <w:p w:rsidR="00135E1E"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 (RU),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 ruA-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 (RU)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В1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5F33F6">
        <w:trPr>
          <w:trHeight w:val="253"/>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В2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rsidTr="005F33F6">
        <w:trPr>
          <w:trHeight w:val="10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B3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B-(RU)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ruB,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247"/>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ruССС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391"/>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ruCC и ниже (не включая ruD)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rsidTr="005F33F6">
        <w:trPr>
          <w:trHeight w:val="109"/>
        </w:trPr>
        <w:tc>
          <w:tcPr>
            <w:tcW w:w="15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212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ruD </w:t>
            </w:r>
          </w:p>
        </w:tc>
        <w:tc>
          <w:tcPr>
            <w:tcW w:w="1701"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559"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1276"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4"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0" w:type="dxa"/>
          </w:tcPr>
          <w:p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r>
    </w:tbl>
    <w:p w:rsidR="00E327C5" w:rsidRPr="008F3278" w:rsidRDefault="00E327C5" w:rsidP="001C2B7D">
      <w:pPr>
        <w:tabs>
          <w:tab w:val="left" w:pos="993"/>
        </w:tabs>
        <w:jc w:val="both"/>
        <w:rPr>
          <w:rFonts w:eastAsia="Batang"/>
          <w:sz w:val="22"/>
        </w:rPr>
      </w:pPr>
    </w:p>
    <w:sectPr w:rsidR="00E327C5"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34" w:rsidRDefault="00AD1C34" w:rsidP="003830AE">
      <w:r>
        <w:separator/>
      </w:r>
    </w:p>
  </w:endnote>
  <w:endnote w:type="continuationSeparator" w:id="0">
    <w:p w:rsidR="00AD1C34" w:rsidRDefault="00AD1C34"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49" w:rsidRDefault="00952949">
    <w:pPr>
      <w:pStyle w:val="af4"/>
      <w:jc w:val="right"/>
    </w:pPr>
    <w:r>
      <w:fldChar w:fldCharType="begin"/>
    </w:r>
    <w:r>
      <w:instrText>PAGE   \* MERGEFORMAT</w:instrText>
    </w:r>
    <w:r>
      <w:fldChar w:fldCharType="separate"/>
    </w:r>
    <w:r w:rsidR="00644427">
      <w:rPr>
        <w:noProof/>
      </w:rPr>
      <w:t>1</w:t>
    </w:r>
    <w:r>
      <w:fldChar w:fldCharType="end"/>
    </w:r>
  </w:p>
  <w:p w:rsidR="00952949" w:rsidRDefault="00952949">
    <w:pPr>
      <w:pStyle w:val="af4"/>
    </w:pPr>
  </w:p>
  <w:p w:rsidR="00952949" w:rsidRDefault="009529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34" w:rsidRDefault="00AD1C34" w:rsidP="003830AE">
      <w:r>
        <w:separator/>
      </w:r>
    </w:p>
  </w:footnote>
  <w:footnote w:type="continuationSeparator" w:id="0">
    <w:p w:rsidR="00AD1C34" w:rsidRDefault="00AD1C34" w:rsidP="003830AE">
      <w:r>
        <w:continuationSeparator/>
      </w:r>
    </w:p>
  </w:footnote>
  <w:footnote w:id="1">
    <w:p w:rsidR="00952949" w:rsidRPr="00E94324" w:rsidRDefault="00952949" w:rsidP="00D6688D">
      <w:pPr>
        <w:pStyle w:val="ad"/>
        <w:jc w:val="both"/>
        <w:rPr>
          <w:sz w:val="10"/>
          <w:szCs w:val="10"/>
        </w:rPr>
      </w:pPr>
      <w:r>
        <w:rPr>
          <w:rStyle w:val="af"/>
        </w:rPr>
        <w:footnoteRef/>
      </w:r>
      <w:r>
        <w:t xml:space="preserve"> </w:t>
      </w:r>
      <w:r w:rsidRPr="00E94324">
        <w:rPr>
          <w:sz w:val="10"/>
          <w:szCs w:val="10"/>
        </w:rPr>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rsidR="00952949" w:rsidRPr="00E94324" w:rsidRDefault="00952949" w:rsidP="00D6688D">
      <w:pPr>
        <w:pStyle w:val="ad"/>
        <w:jc w:val="both"/>
        <w:rPr>
          <w:sz w:val="10"/>
          <w:szCs w:val="10"/>
        </w:rPr>
      </w:pPr>
      <w:r>
        <w:rPr>
          <w:rStyle w:val="af"/>
        </w:rPr>
        <w:footnoteRef/>
      </w:r>
      <w:r>
        <w:t xml:space="preserve"> </w:t>
      </w:r>
      <w:r w:rsidRPr="00E94324">
        <w:rPr>
          <w:rFonts w:ascii="Times New Roman" w:hAnsi="Times New Roman"/>
          <w:sz w:val="10"/>
          <w:szCs w:val="10"/>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rsidR="00952949" w:rsidRPr="00E94324" w:rsidRDefault="00952949" w:rsidP="00D6688D">
      <w:pPr>
        <w:pStyle w:val="ad"/>
        <w:jc w:val="both"/>
        <w:rPr>
          <w:rFonts w:ascii="Times New Roman" w:hAnsi="Times New Roman"/>
          <w:sz w:val="10"/>
          <w:szCs w:val="10"/>
        </w:rPr>
      </w:pPr>
      <w:r>
        <w:rPr>
          <w:rStyle w:val="af"/>
        </w:rPr>
        <w:footnoteRef/>
      </w:r>
      <w:r>
        <w:t xml:space="preserve"> </w:t>
      </w:r>
      <w:r w:rsidRPr="00E94324">
        <w:rPr>
          <w:rFonts w:ascii="Times New Roman" w:hAnsi="Times New Roman"/>
          <w:sz w:val="10"/>
          <w:szCs w:val="10"/>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952949" w:rsidRDefault="00952949" w:rsidP="00D6688D">
      <w:pPr>
        <w:pStyle w:val="ad"/>
        <w:jc w:val="both"/>
      </w:pPr>
      <w:r w:rsidRPr="00E94324">
        <w:rPr>
          <w:rFonts w:ascii="Times New Roman" w:hAnsi="Times New Roman"/>
          <w:sz w:val="10"/>
          <w:szCs w:val="10"/>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rsidR="00952949" w:rsidRPr="00E94324" w:rsidRDefault="00952949" w:rsidP="00AF1D7D">
      <w:pPr>
        <w:pStyle w:val="ad"/>
        <w:rPr>
          <w:sz w:val="16"/>
          <w:szCs w:val="16"/>
        </w:rPr>
      </w:pPr>
      <w:r w:rsidRPr="00E94324">
        <w:rPr>
          <w:rStyle w:val="af"/>
          <w:sz w:val="16"/>
          <w:szCs w:val="16"/>
        </w:rPr>
        <w:footnoteRef/>
      </w:r>
      <w:r w:rsidRPr="00E94324">
        <w:rPr>
          <w:sz w:val="16"/>
          <w:szCs w:val="16"/>
        </w:rPr>
        <w:t xml:space="preserve"> </w:t>
      </w:r>
      <w:hyperlink r:id="rId1" w:history="1">
        <w:r w:rsidRPr="00E94324">
          <w:rPr>
            <w:rStyle w:val="a7"/>
            <w:sz w:val="16"/>
            <w:szCs w:val="16"/>
          </w:rPr>
          <w:t>https://home.treasury.gov/resource-center/data-chart-center/interest-rates/TextView?type=daily_treasury_yield_curve&amp;field_tdr_date_value_month=202211</w:t>
        </w:r>
      </w:hyperlink>
    </w:p>
    <w:p w:rsidR="00952949" w:rsidRPr="00E94324" w:rsidRDefault="00952949" w:rsidP="00AF1D7D">
      <w:pPr>
        <w:pStyle w:val="ad"/>
        <w:rPr>
          <w:sz w:val="16"/>
          <w:szCs w:val="16"/>
        </w:rPr>
      </w:pPr>
    </w:p>
  </w:footnote>
  <w:footnote w:id="5">
    <w:p w:rsidR="00952949" w:rsidRPr="00E94324" w:rsidRDefault="00952949" w:rsidP="00AF1D7D">
      <w:pPr>
        <w:pStyle w:val="ad"/>
        <w:rPr>
          <w:sz w:val="16"/>
          <w:szCs w:val="16"/>
        </w:rPr>
      </w:pPr>
      <w:r w:rsidRPr="00E94324">
        <w:rPr>
          <w:rStyle w:val="af"/>
          <w:sz w:val="16"/>
          <w:szCs w:val="16"/>
        </w:rPr>
        <w:footnoteRef/>
      </w:r>
      <w:r w:rsidRPr="00E94324">
        <w:rPr>
          <w:sz w:val="16"/>
          <w:szCs w:val="16"/>
        </w:rPr>
        <w:t xml:space="preserve"> </w:t>
      </w:r>
      <w:hyperlink r:id="rId2" w:history="1">
        <w:r w:rsidRPr="00E94324">
          <w:rPr>
            <w:rStyle w:val="a7"/>
            <w:sz w:val="16"/>
            <w:szCs w:val="16"/>
          </w:rPr>
          <w:t>https://www.ecb.europa.eu/stats/financial_markets_and_interest_rates/euro_area_yield_curves/html/index.en.html</w:t>
        </w:r>
      </w:hyperlink>
      <w:r w:rsidRPr="00E94324">
        <w:rPr>
          <w:rStyle w:val="a7"/>
          <w:sz w:val="16"/>
          <w:szCs w:val="16"/>
        </w:rPr>
        <w:t xml:space="preserve"> Используются значения параметра </w:t>
      </w:r>
      <w:r w:rsidRPr="00E94324">
        <w:rPr>
          <w:rStyle w:val="a7"/>
          <w:sz w:val="16"/>
          <w:szCs w:val="16"/>
          <w:lang w:val="en-US"/>
        </w:rPr>
        <w:t>Spot</w:t>
      </w:r>
      <w:r w:rsidRPr="00E94324">
        <w:rPr>
          <w:rStyle w:val="a7"/>
          <w:sz w:val="16"/>
          <w:szCs w:val="16"/>
        </w:rPr>
        <w:t xml:space="preserve"> </w:t>
      </w:r>
      <w:r w:rsidRPr="00E94324">
        <w:rPr>
          <w:rStyle w:val="a7"/>
          <w:sz w:val="16"/>
          <w:szCs w:val="16"/>
          <w:lang w:val="en-US"/>
        </w:rPr>
        <w:t>Rate</w:t>
      </w:r>
      <w:r w:rsidRPr="00E94324">
        <w:rPr>
          <w:rStyle w:val="a7"/>
          <w:sz w:val="16"/>
          <w:szCs w:val="16"/>
        </w:rPr>
        <w:t xml:space="preserve"> для всех доступных облигаций (</w:t>
      </w:r>
      <w:r w:rsidRPr="00E94324">
        <w:rPr>
          <w:rStyle w:val="a7"/>
          <w:sz w:val="16"/>
          <w:szCs w:val="16"/>
          <w:lang w:val="en-US"/>
        </w:rPr>
        <w:t>all</w:t>
      </w:r>
      <w:r w:rsidRPr="00E94324">
        <w:rPr>
          <w:rStyle w:val="a7"/>
          <w:sz w:val="16"/>
          <w:szCs w:val="16"/>
        </w:rPr>
        <w:t xml:space="preserve"> </w:t>
      </w:r>
      <w:r w:rsidRPr="00E94324">
        <w:rPr>
          <w:rStyle w:val="a7"/>
          <w:sz w:val="16"/>
          <w:szCs w:val="16"/>
          <w:lang w:val="en-US"/>
        </w:rPr>
        <w:t>bonds</w:t>
      </w:r>
      <w:r w:rsidRPr="00E94324">
        <w:rPr>
          <w:rStyle w:val="a7"/>
          <w:sz w:val="16"/>
          <w:szCs w:val="16"/>
        </w:rPr>
        <w:t>).</w:t>
      </w:r>
    </w:p>
  </w:footnote>
  <w:footnote w:id="6">
    <w:p w:rsidR="00952949" w:rsidRPr="00E94324" w:rsidRDefault="00952949" w:rsidP="00AF1D7D">
      <w:pPr>
        <w:pStyle w:val="ad"/>
        <w:rPr>
          <w:sz w:val="16"/>
          <w:szCs w:val="16"/>
        </w:rPr>
      </w:pPr>
      <w:r w:rsidRPr="00E94324">
        <w:rPr>
          <w:rStyle w:val="af"/>
          <w:sz w:val="16"/>
          <w:szCs w:val="16"/>
        </w:rPr>
        <w:footnoteRef/>
      </w:r>
      <w:r w:rsidRPr="00E94324">
        <w:rPr>
          <w:sz w:val="16"/>
          <w:szCs w:val="16"/>
        </w:rPr>
        <w:t xml:space="preserve"> </w:t>
      </w:r>
      <w:r w:rsidRPr="00E94324">
        <w:rPr>
          <w:rFonts w:ascii="Times New Roman" w:hAnsi="Times New Roman"/>
          <w:sz w:val="16"/>
          <w:szCs w:val="16"/>
        </w:rPr>
        <w:t>Под датой оферты (Put-оферта) понимается дата наступления события оферта, определенная условиями выпуска.</w:t>
      </w:r>
    </w:p>
  </w:footnote>
  <w:footnote w:id="7">
    <w:p w:rsidR="00952949" w:rsidRDefault="00952949"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rsidR="00952949" w:rsidRDefault="00952949">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rsidR="00952949" w:rsidRPr="00934212" w:rsidRDefault="00952949"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rsidR="00952949" w:rsidRDefault="00952949"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rsidR="00952949" w:rsidRPr="00934212" w:rsidRDefault="00952949"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rsidR="00952949" w:rsidRDefault="00952949"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rsidR="00952949" w:rsidRPr="00BE449B" w:rsidRDefault="00952949"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rsidR="00952949" w:rsidRPr="00FC2DDA" w:rsidRDefault="00952949"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rsidR="00952949" w:rsidRPr="00FD4F9A" w:rsidRDefault="00952949"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rsidR="00952949" w:rsidRPr="00404E0B" w:rsidRDefault="00952949"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952949" w:rsidRPr="00404E0B" w:rsidRDefault="00952949" w:rsidP="00E96A1C">
      <w:pPr>
        <w:pStyle w:val="ad"/>
        <w:numPr>
          <w:ilvl w:val="0"/>
          <w:numId w:val="33"/>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952949" w:rsidRPr="00E2653F" w:rsidRDefault="00952949" w:rsidP="00E96A1C">
      <w:pPr>
        <w:pStyle w:val="ad"/>
        <w:numPr>
          <w:ilvl w:val="0"/>
          <w:numId w:val="33"/>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rsidR="00952949" w:rsidRPr="000C2205" w:rsidRDefault="00952949" w:rsidP="006B6937">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rsidR="00952949" w:rsidRDefault="00952949"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rsidR="00952949" w:rsidRDefault="00952949"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rsidR="00952949" w:rsidRPr="002F7235" w:rsidRDefault="00952949">
      <w:pPr>
        <w:pStyle w:val="ad"/>
      </w:pPr>
      <w:r w:rsidRPr="00E94324">
        <w:rPr>
          <w:rStyle w:val="af"/>
          <w:rFonts w:ascii="Times New Roman" w:hAnsi="Times New Roman"/>
          <w:sz w:val="16"/>
          <w:szCs w:val="16"/>
        </w:rPr>
        <w:footnoteRef/>
      </w:r>
      <w:r w:rsidRPr="00E94324">
        <w:t xml:space="preserve"> </w:t>
      </w:r>
      <w:r w:rsidRPr="00E94324">
        <w:rPr>
          <w:rFonts w:ascii="Times New Roman" w:hAnsi="Times New Roman"/>
          <w:sz w:val="16"/>
          <w:szCs w:val="16"/>
        </w:rPr>
        <w:t>https://www.raexpert.ru/about/disclosure/</w:t>
      </w:r>
      <w:r>
        <w:rPr>
          <w:sz w:val="20"/>
        </w:rPr>
        <w:t xml:space="preserve"> </w:t>
      </w:r>
      <w:r>
        <w:t xml:space="preserve"> </w:t>
      </w:r>
    </w:p>
  </w:footnote>
  <w:footnote w:id="21">
    <w:p w:rsidR="00952949" w:rsidRPr="00EB4F7B" w:rsidRDefault="00952949" w:rsidP="0031618A">
      <w:pPr>
        <w:pStyle w:val="ad"/>
        <w:jc w:val="both"/>
      </w:pPr>
      <w:r w:rsidRPr="00E94324">
        <w:rPr>
          <w:rStyle w:val="af"/>
          <w:rFonts w:ascii="Times New Roman" w:eastAsia="Times New Roman" w:hAnsi="Times New Roman"/>
          <w:sz w:val="16"/>
          <w:szCs w:val="16"/>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rsidR="00952949" w:rsidRPr="001E2425" w:rsidRDefault="00952949"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952949" w:rsidRPr="001E2425" w:rsidRDefault="00952949"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rsidR="00952949" w:rsidRDefault="00952949" w:rsidP="007D0736">
      <w:pPr>
        <w:pStyle w:val="footnotedescription"/>
      </w:pPr>
      <w:r>
        <w:rPr>
          <w:rStyle w:val="footnotemark"/>
        </w:rPr>
        <w:footnoteRef/>
      </w:r>
      <w:r>
        <w:t xml:space="preserve"> Например, гостиницы, хостелы и т.п. </w:t>
      </w:r>
    </w:p>
  </w:footnote>
  <w:footnote w:id="24">
    <w:p w:rsidR="00952949" w:rsidRPr="00B14325" w:rsidRDefault="00952949"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rsidR="00952949" w:rsidRPr="00FE471A" w:rsidRDefault="00952949"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2B0114"/>
    <w:multiLevelType w:val="multilevel"/>
    <w:tmpl w:val="AD24C87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9A2429"/>
    <w:multiLevelType w:val="hybridMultilevel"/>
    <w:tmpl w:val="AD5E928A"/>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2"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 w15:restartNumberingAfterBreak="0">
    <w:nsid w:val="37D243DB"/>
    <w:multiLevelType w:val="hybridMultilevel"/>
    <w:tmpl w:val="E0E67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26" w15:restartNumberingAfterBreak="0">
    <w:nsid w:val="3FF315B7"/>
    <w:multiLevelType w:val="hybridMultilevel"/>
    <w:tmpl w:val="86329832"/>
    <w:lvl w:ilvl="0" w:tplc="EACE6A2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E1ADF"/>
    <w:multiLevelType w:val="hybridMultilevel"/>
    <w:tmpl w:val="46720EE2"/>
    <w:lvl w:ilvl="0" w:tplc="A3D84174">
      <w:start w:val="1"/>
      <w:numFmt w:val="bullet"/>
      <w:lvlText w:val="•"/>
      <w:lvlJc w:val="left"/>
      <w:pPr>
        <w:ind w:left="1287"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3"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F14A78"/>
    <w:multiLevelType w:val="multilevel"/>
    <w:tmpl w:val="4E241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6"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8"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EE2103"/>
    <w:multiLevelType w:val="hybridMultilevel"/>
    <w:tmpl w:val="3B08EF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8"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15:restartNumberingAfterBreak="0">
    <w:nsid w:val="71A76A66"/>
    <w:multiLevelType w:val="hybridMultilevel"/>
    <w:tmpl w:val="A2D67148"/>
    <w:lvl w:ilvl="0" w:tplc="04190001">
      <w:start w:val="1"/>
      <w:numFmt w:val="bullet"/>
      <w:lvlText w:val=""/>
      <w:lvlJc w:val="left"/>
      <w:pPr>
        <w:ind w:left="720" w:hanging="360"/>
      </w:pPr>
      <w:rPr>
        <w:rFonts w:ascii="Symbol" w:hAnsi="Symbol" w:hint="default"/>
      </w:rPr>
    </w:lvl>
    <w:lvl w:ilvl="1" w:tplc="395E23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FC307E"/>
    <w:multiLevelType w:val="hybridMultilevel"/>
    <w:tmpl w:val="100617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42"/>
  </w:num>
  <w:num w:numId="3">
    <w:abstractNumId w:val="4"/>
  </w:num>
  <w:num w:numId="4">
    <w:abstractNumId w:val="11"/>
  </w:num>
  <w:num w:numId="5">
    <w:abstractNumId w:val="47"/>
  </w:num>
  <w:num w:numId="6">
    <w:abstractNumId w:val="37"/>
  </w:num>
  <w:num w:numId="7">
    <w:abstractNumId w:val="29"/>
  </w:num>
  <w:num w:numId="8">
    <w:abstractNumId w:val="7"/>
  </w:num>
  <w:num w:numId="9">
    <w:abstractNumId w:val="5"/>
  </w:num>
  <w:num w:numId="10">
    <w:abstractNumId w:val="17"/>
  </w:num>
  <w:num w:numId="11">
    <w:abstractNumId w:val="2"/>
  </w:num>
  <w:num w:numId="12">
    <w:abstractNumId w:val="4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5"/>
  </w:num>
  <w:num w:numId="16">
    <w:abstractNumId w:val="48"/>
  </w:num>
  <w:num w:numId="17">
    <w:abstractNumId w:val="39"/>
  </w:num>
  <w:num w:numId="18">
    <w:abstractNumId w:val="30"/>
  </w:num>
  <w:num w:numId="19">
    <w:abstractNumId w:val="43"/>
  </w:num>
  <w:num w:numId="20">
    <w:abstractNumId w:val="14"/>
  </w:num>
  <w:num w:numId="21">
    <w:abstractNumId w:val="50"/>
  </w:num>
  <w:num w:numId="22">
    <w:abstractNumId w:val="53"/>
  </w:num>
  <w:num w:numId="23">
    <w:abstractNumId w:val="36"/>
  </w:num>
  <w:num w:numId="24">
    <w:abstractNumId w:val="20"/>
  </w:num>
  <w:num w:numId="25">
    <w:abstractNumId w:val="18"/>
  </w:num>
  <w:num w:numId="26">
    <w:abstractNumId w:val="12"/>
  </w:num>
  <w:num w:numId="27">
    <w:abstractNumId w:val="24"/>
  </w:num>
  <w:num w:numId="28">
    <w:abstractNumId w:val="10"/>
  </w:num>
  <w:num w:numId="29">
    <w:abstractNumId w:val="40"/>
  </w:num>
  <w:num w:numId="30">
    <w:abstractNumId w:val="2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15"/>
  </w:num>
  <w:num w:numId="35">
    <w:abstractNumId w:val="23"/>
  </w:num>
  <w:num w:numId="36">
    <w:abstractNumId w:val="8"/>
  </w:num>
  <w:num w:numId="37">
    <w:abstractNumId w:val="52"/>
  </w:num>
  <w:num w:numId="38">
    <w:abstractNumId w:val="1"/>
  </w:num>
  <w:num w:numId="39">
    <w:abstractNumId w:val="6"/>
  </w:num>
  <w:num w:numId="40">
    <w:abstractNumId w:val="9"/>
  </w:num>
  <w:num w:numId="41">
    <w:abstractNumId w:val="46"/>
  </w:num>
  <w:num w:numId="42">
    <w:abstractNumId w:val="33"/>
  </w:num>
  <w:num w:numId="43">
    <w:abstractNumId w:val="19"/>
  </w:num>
  <w:num w:numId="44">
    <w:abstractNumId w:val="38"/>
  </w:num>
  <w:num w:numId="45">
    <w:abstractNumId w:val="27"/>
  </w:num>
  <w:num w:numId="46">
    <w:abstractNumId w:val="13"/>
  </w:num>
  <w:num w:numId="47">
    <w:abstractNumId w:val="31"/>
  </w:num>
  <w:num w:numId="48">
    <w:abstractNumId w:val="44"/>
  </w:num>
  <w:num w:numId="49">
    <w:abstractNumId w:val="41"/>
  </w:num>
  <w:num w:numId="50">
    <w:abstractNumId w:val="51"/>
  </w:num>
  <w:num w:numId="51">
    <w:abstractNumId w:val="34"/>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num>
  <w:num w:numId="93">
    <w:abstractNumId w:val="22"/>
  </w:num>
  <w:num w:numId="94">
    <w:abstractNumId w:val="54"/>
  </w:num>
  <w:num w:numId="95">
    <w:abstractNumId w:val="2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053F"/>
    <w:rsid w:val="00051D05"/>
    <w:rsid w:val="000521CD"/>
    <w:rsid w:val="00052BB9"/>
    <w:rsid w:val="00054374"/>
    <w:rsid w:val="00055734"/>
    <w:rsid w:val="00055BDD"/>
    <w:rsid w:val="00056C0E"/>
    <w:rsid w:val="00056C59"/>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7AC"/>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0F8A"/>
    <w:rsid w:val="00111B0F"/>
    <w:rsid w:val="00111E06"/>
    <w:rsid w:val="00114720"/>
    <w:rsid w:val="00116F5D"/>
    <w:rsid w:val="00120F99"/>
    <w:rsid w:val="0012263C"/>
    <w:rsid w:val="00123C6B"/>
    <w:rsid w:val="00125DBA"/>
    <w:rsid w:val="00127B0D"/>
    <w:rsid w:val="0013016E"/>
    <w:rsid w:val="00131BB0"/>
    <w:rsid w:val="00135D24"/>
    <w:rsid w:val="00135E1E"/>
    <w:rsid w:val="0013612F"/>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67390"/>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2685"/>
    <w:rsid w:val="001A31C0"/>
    <w:rsid w:val="001A4074"/>
    <w:rsid w:val="001A4C90"/>
    <w:rsid w:val="001A6D39"/>
    <w:rsid w:val="001A7818"/>
    <w:rsid w:val="001A7D8A"/>
    <w:rsid w:val="001B0ACA"/>
    <w:rsid w:val="001B0D4B"/>
    <w:rsid w:val="001B1FD4"/>
    <w:rsid w:val="001B3087"/>
    <w:rsid w:val="001B3C4E"/>
    <w:rsid w:val="001B3D47"/>
    <w:rsid w:val="001B5005"/>
    <w:rsid w:val="001B59B4"/>
    <w:rsid w:val="001B5D7C"/>
    <w:rsid w:val="001B64F2"/>
    <w:rsid w:val="001B76F7"/>
    <w:rsid w:val="001B7C50"/>
    <w:rsid w:val="001C0828"/>
    <w:rsid w:val="001C0F85"/>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992"/>
    <w:rsid w:val="001F0D28"/>
    <w:rsid w:val="001F35AC"/>
    <w:rsid w:val="001F52E0"/>
    <w:rsid w:val="001F5ABF"/>
    <w:rsid w:val="001F6755"/>
    <w:rsid w:val="001F798D"/>
    <w:rsid w:val="00200976"/>
    <w:rsid w:val="0020223D"/>
    <w:rsid w:val="0020244C"/>
    <w:rsid w:val="00203597"/>
    <w:rsid w:val="002040D9"/>
    <w:rsid w:val="00204226"/>
    <w:rsid w:val="00204D22"/>
    <w:rsid w:val="00207827"/>
    <w:rsid w:val="00211CD4"/>
    <w:rsid w:val="00211EC9"/>
    <w:rsid w:val="002126EA"/>
    <w:rsid w:val="00213492"/>
    <w:rsid w:val="00217477"/>
    <w:rsid w:val="00217624"/>
    <w:rsid w:val="00217703"/>
    <w:rsid w:val="002201AD"/>
    <w:rsid w:val="00221B27"/>
    <w:rsid w:val="0022699A"/>
    <w:rsid w:val="00230EF4"/>
    <w:rsid w:val="00231387"/>
    <w:rsid w:val="00232746"/>
    <w:rsid w:val="0023602C"/>
    <w:rsid w:val="002360F7"/>
    <w:rsid w:val="00236BAD"/>
    <w:rsid w:val="00236CED"/>
    <w:rsid w:val="002417B2"/>
    <w:rsid w:val="00241CBF"/>
    <w:rsid w:val="00242A29"/>
    <w:rsid w:val="00242C26"/>
    <w:rsid w:val="00247471"/>
    <w:rsid w:val="002500AB"/>
    <w:rsid w:val="002542AB"/>
    <w:rsid w:val="002543F5"/>
    <w:rsid w:val="00260669"/>
    <w:rsid w:val="0026178D"/>
    <w:rsid w:val="00262611"/>
    <w:rsid w:val="00263168"/>
    <w:rsid w:val="002636F7"/>
    <w:rsid w:val="0026720F"/>
    <w:rsid w:val="00267CC5"/>
    <w:rsid w:val="002702DA"/>
    <w:rsid w:val="00270861"/>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1C85"/>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2F7235"/>
    <w:rsid w:val="00301918"/>
    <w:rsid w:val="003021B2"/>
    <w:rsid w:val="00304DE6"/>
    <w:rsid w:val="003075A0"/>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246B"/>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56F7"/>
    <w:rsid w:val="003B6093"/>
    <w:rsid w:val="003C3866"/>
    <w:rsid w:val="003C3BD8"/>
    <w:rsid w:val="003C6824"/>
    <w:rsid w:val="003C6846"/>
    <w:rsid w:val="003C70FC"/>
    <w:rsid w:val="003D134B"/>
    <w:rsid w:val="003D2C4C"/>
    <w:rsid w:val="003D50D8"/>
    <w:rsid w:val="003D5A8E"/>
    <w:rsid w:val="003D64D4"/>
    <w:rsid w:val="003E1142"/>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6989"/>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2767F"/>
    <w:rsid w:val="00431BAF"/>
    <w:rsid w:val="00432606"/>
    <w:rsid w:val="00432D61"/>
    <w:rsid w:val="00434858"/>
    <w:rsid w:val="004405A2"/>
    <w:rsid w:val="00443478"/>
    <w:rsid w:val="004439AC"/>
    <w:rsid w:val="0044441D"/>
    <w:rsid w:val="004470B3"/>
    <w:rsid w:val="004500B6"/>
    <w:rsid w:val="00450D61"/>
    <w:rsid w:val="004512A9"/>
    <w:rsid w:val="00451B1D"/>
    <w:rsid w:val="00451D0B"/>
    <w:rsid w:val="00453041"/>
    <w:rsid w:val="004549A8"/>
    <w:rsid w:val="00454BFE"/>
    <w:rsid w:val="0045505D"/>
    <w:rsid w:val="0045539C"/>
    <w:rsid w:val="00456629"/>
    <w:rsid w:val="004567F2"/>
    <w:rsid w:val="00460541"/>
    <w:rsid w:val="00460A56"/>
    <w:rsid w:val="0046166C"/>
    <w:rsid w:val="004621EC"/>
    <w:rsid w:val="00467207"/>
    <w:rsid w:val="004736C9"/>
    <w:rsid w:val="0047623A"/>
    <w:rsid w:val="00476FC3"/>
    <w:rsid w:val="004811BA"/>
    <w:rsid w:val="0048170D"/>
    <w:rsid w:val="00483C3E"/>
    <w:rsid w:val="00484282"/>
    <w:rsid w:val="004846B1"/>
    <w:rsid w:val="004853F6"/>
    <w:rsid w:val="004900C9"/>
    <w:rsid w:val="00491646"/>
    <w:rsid w:val="00491D42"/>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B69F0"/>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6B6B"/>
    <w:rsid w:val="004D774B"/>
    <w:rsid w:val="004E117C"/>
    <w:rsid w:val="004E124E"/>
    <w:rsid w:val="004E2438"/>
    <w:rsid w:val="004E30B5"/>
    <w:rsid w:val="004E3191"/>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5D06"/>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438"/>
    <w:rsid w:val="005776D4"/>
    <w:rsid w:val="00577858"/>
    <w:rsid w:val="0058077E"/>
    <w:rsid w:val="00580DCE"/>
    <w:rsid w:val="005827CD"/>
    <w:rsid w:val="00585C5E"/>
    <w:rsid w:val="00586901"/>
    <w:rsid w:val="005877F2"/>
    <w:rsid w:val="00590BDB"/>
    <w:rsid w:val="00592779"/>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1DFA"/>
    <w:rsid w:val="005B27BC"/>
    <w:rsid w:val="005B4ACF"/>
    <w:rsid w:val="005B6D41"/>
    <w:rsid w:val="005B7ACA"/>
    <w:rsid w:val="005C29F7"/>
    <w:rsid w:val="005C2F1B"/>
    <w:rsid w:val="005C3A09"/>
    <w:rsid w:val="005C441B"/>
    <w:rsid w:val="005C554F"/>
    <w:rsid w:val="005C57D3"/>
    <w:rsid w:val="005C5905"/>
    <w:rsid w:val="005C6721"/>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33F6"/>
    <w:rsid w:val="005F4E75"/>
    <w:rsid w:val="005F5954"/>
    <w:rsid w:val="005F7DC2"/>
    <w:rsid w:val="00600ABA"/>
    <w:rsid w:val="00603AB0"/>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25D75"/>
    <w:rsid w:val="00632AAF"/>
    <w:rsid w:val="00634A93"/>
    <w:rsid w:val="00635351"/>
    <w:rsid w:val="00635D34"/>
    <w:rsid w:val="00635E2F"/>
    <w:rsid w:val="00636AB2"/>
    <w:rsid w:val="00637559"/>
    <w:rsid w:val="006442E7"/>
    <w:rsid w:val="0064442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0123"/>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937"/>
    <w:rsid w:val="006B6AFB"/>
    <w:rsid w:val="006B7549"/>
    <w:rsid w:val="006C0691"/>
    <w:rsid w:val="006C177A"/>
    <w:rsid w:val="006C21EA"/>
    <w:rsid w:val="006C28DC"/>
    <w:rsid w:val="006C3A3E"/>
    <w:rsid w:val="006C6106"/>
    <w:rsid w:val="006C668A"/>
    <w:rsid w:val="006C7A4D"/>
    <w:rsid w:val="006C7FE4"/>
    <w:rsid w:val="006D1AB8"/>
    <w:rsid w:val="006D1CAE"/>
    <w:rsid w:val="006D2C5E"/>
    <w:rsid w:val="006D5753"/>
    <w:rsid w:val="006D589C"/>
    <w:rsid w:val="006D6573"/>
    <w:rsid w:val="006D7089"/>
    <w:rsid w:val="006E07D0"/>
    <w:rsid w:val="006E0FF4"/>
    <w:rsid w:val="006E2923"/>
    <w:rsid w:val="006E3A83"/>
    <w:rsid w:val="006E51D8"/>
    <w:rsid w:val="006F6BD1"/>
    <w:rsid w:val="00701426"/>
    <w:rsid w:val="007016C0"/>
    <w:rsid w:val="00703307"/>
    <w:rsid w:val="00704466"/>
    <w:rsid w:val="0070492F"/>
    <w:rsid w:val="00705CEC"/>
    <w:rsid w:val="0071542C"/>
    <w:rsid w:val="00715C3B"/>
    <w:rsid w:val="00716B09"/>
    <w:rsid w:val="00716DF8"/>
    <w:rsid w:val="0072104B"/>
    <w:rsid w:val="00721C39"/>
    <w:rsid w:val="007222E4"/>
    <w:rsid w:val="007228B5"/>
    <w:rsid w:val="00723426"/>
    <w:rsid w:val="0072342E"/>
    <w:rsid w:val="00724964"/>
    <w:rsid w:val="007250C5"/>
    <w:rsid w:val="007270C4"/>
    <w:rsid w:val="00730812"/>
    <w:rsid w:val="00732D63"/>
    <w:rsid w:val="00733EF2"/>
    <w:rsid w:val="0073420D"/>
    <w:rsid w:val="00740AD6"/>
    <w:rsid w:val="00742272"/>
    <w:rsid w:val="0074323D"/>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1EE9"/>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E7721"/>
    <w:rsid w:val="007F000A"/>
    <w:rsid w:val="007F04B9"/>
    <w:rsid w:val="007F1DF0"/>
    <w:rsid w:val="007F38DF"/>
    <w:rsid w:val="007F610B"/>
    <w:rsid w:val="0080042A"/>
    <w:rsid w:val="00800856"/>
    <w:rsid w:val="00800868"/>
    <w:rsid w:val="008045DD"/>
    <w:rsid w:val="00804F18"/>
    <w:rsid w:val="0080550F"/>
    <w:rsid w:val="008068EC"/>
    <w:rsid w:val="008169F7"/>
    <w:rsid w:val="00822AF1"/>
    <w:rsid w:val="00824429"/>
    <w:rsid w:val="008272DA"/>
    <w:rsid w:val="0082760A"/>
    <w:rsid w:val="008278C1"/>
    <w:rsid w:val="00827CB3"/>
    <w:rsid w:val="0083138F"/>
    <w:rsid w:val="008331F0"/>
    <w:rsid w:val="0083360D"/>
    <w:rsid w:val="008340B9"/>
    <w:rsid w:val="00834BCC"/>
    <w:rsid w:val="00835AF0"/>
    <w:rsid w:val="0083701C"/>
    <w:rsid w:val="0083727A"/>
    <w:rsid w:val="00837982"/>
    <w:rsid w:val="00837BDF"/>
    <w:rsid w:val="0084076D"/>
    <w:rsid w:val="0084118F"/>
    <w:rsid w:val="008434DB"/>
    <w:rsid w:val="00850462"/>
    <w:rsid w:val="008531BD"/>
    <w:rsid w:val="00853F09"/>
    <w:rsid w:val="00855B74"/>
    <w:rsid w:val="00861165"/>
    <w:rsid w:val="00862493"/>
    <w:rsid w:val="00862613"/>
    <w:rsid w:val="00865051"/>
    <w:rsid w:val="00865858"/>
    <w:rsid w:val="0086674A"/>
    <w:rsid w:val="008674AF"/>
    <w:rsid w:val="00867899"/>
    <w:rsid w:val="00867EE7"/>
    <w:rsid w:val="008705DE"/>
    <w:rsid w:val="00872559"/>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3698"/>
    <w:rsid w:val="0089494F"/>
    <w:rsid w:val="00894CA5"/>
    <w:rsid w:val="00896324"/>
    <w:rsid w:val="008972FC"/>
    <w:rsid w:val="008A1E74"/>
    <w:rsid w:val="008A357D"/>
    <w:rsid w:val="008A3E09"/>
    <w:rsid w:val="008A60F7"/>
    <w:rsid w:val="008A6D7D"/>
    <w:rsid w:val="008A79CC"/>
    <w:rsid w:val="008A7A8D"/>
    <w:rsid w:val="008B37A7"/>
    <w:rsid w:val="008B43F7"/>
    <w:rsid w:val="008B5B54"/>
    <w:rsid w:val="008B5B87"/>
    <w:rsid w:val="008B6168"/>
    <w:rsid w:val="008B6AEF"/>
    <w:rsid w:val="008C0459"/>
    <w:rsid w:val="008C19B5"/>
    <w:rsid w:val="008C288B"/>
    <w:rsid w:val="008C39F7"/>
    <w:rsid w:val="008C4398"/>
    <w:rsid w:val="008C4728"/>
    <w:rsid w:val="008D13D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3A0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36613"/>
    <w:rsid w:val="00940277"/>
    <w:rsid w:val="00940B75"/>
    <w:rsid w:val="00945408"/>
    <w:rsid w:val="0094598B"/>
    <w:rsid w:val="00945FDF"/>
    <w:rsid w:val="00946B5D"/>
    <w:rsid w:val="00947732"/>
    <w:rsid w:val="00950497"/>
    <w:rsid w:val="009505F1"/>
    <w:rsid w:val="00950C99"/>
    <w:rsid w:val="00950E2A"/>
    <w:rsid w:val="00952513"/>
    <w:rsid w:val="00952949"/>
    <w:rsid w:val="00952AC8"/>
    <w:rsid w:val="00953C10"/>
    <w:rsid w:val="00953EF2"/>
    <w:rsid w:val="00954196"/>
    <w:rsid w:val="0095520B"/>
    <w:rsid w:val="00955D3C"/>
    <w:rsid w:val="00955E00"/>
    <w:rsid w:val="00955E54"/>
    <w:rsid w:val="009563C8"/>
    <w:rsid w:val="00957EAB"/>
    <w:rsid w:val="009614D9"/>
    <w:rsid w:val="00962514"/>
    <w:rsid w:val="0096287A"/>
    <w:rsid w:val="0096366F"/>
    <w:rsid w:val="00966C47"/>
    <w:rsid w:val="00967466"/>
    <w:rsid w:val="009709E7"/>
    <w:rsid w:val="009732EC"/>
    <w:rsid w:val="00973A15"/>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43F"/>
    <w:rsid w:val="009A4736"/>
    <w:rsid w:val="009A48DC"/>
    <w:rsid w:val="009B000D"/>
    <w:rsid w:val="009B12A3"/>
    <w:rsid w:val="009B37C5"/>
    <w:rsid w:val="009B53E1"/>
    <w:rsid w:val="009B5765"/>
    <w:rsid w:val="009C2487"/>
    <w:rsid w:val="009C4A83"/>
    <w:rsid w:val="009C52A7"/>
    <w:rsid w:val="009C681C"/>
    <w:rsid w:val="009C7BDD"/>
    <w:rsid w:val="009D0791"/>
    <w:rsid w:val="009D0B2A"/>
    <w:rsid w:val="009D16D9"/>
    <w:rsid w:val="009D1C36"/>
    <w:rsid w:val="009D3075"/>
    <w:rsid w:val="009E0409"/>
    <w:rsid w:val="009E1AD3"/>
    <w:rsid w:val="009E392C"/>
    <w:rsid w:val="009E5345"/>
    <w:rsid w:val="009E59DD"/>
    <w:rsid w:val="009E5BC7"/>
    <w:rsid w:val="009E60BE"/>
    <w:rsid w:val="009E6B40"/>
    <w:rsid w:val="009F144D"/>
    <w:rsid w:val="009F2815"/>
    <w:rsid w:val="009F2F72"/>
    <w:rsid w:val="009F324D"/>
    <w:rsid w:val="009F35A8"/>
    <w:rsid w:val="009F3E47"/>
    <w:rsid w:val="009F48CB"/>
    <w:rsid w:val="009F4B13"/>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3C28"/>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0FD3"/>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52D50"/>
    <w:rsid w:val="00A602F8"/>
    <w:rsid w:val="00A62FB9"/>
    <w:rsid w:val="00A647E9"/>
    <w:rsid w:val="00A64FDC"/>
    <w:rsid w:val="00A674AD"/>
    <w:rsid w:val="00A675EE"/>
    <w:rsid w:val="00A67769"/>
    <w:rsid w:val="00A7031A"/>
    <w:rsid w:val="00A70339"/>
    <w:rsid w:val="00A705B9"/>
    <w:rsid w:val="00A70C83"/>
    <w:rsid w:val="00A7121E"/>
    <w:rsid w:val="00A71E53"/>
    <w:rsid w:val="00A7371D"/>
    <w:rsid w:val="00A753DE"/>
    <w:rsid w:val="00A7566D"/>
    <w:rsid w:val="00A7567F"/>
    <w:rsid w:val="00A75E71"/>
    <w:rsid w:val="00A81E87"/>
    <w:rsid w:val="00A82608"/>
    <w:rsid w:val="00A831A0"/>
    <w:rsid w:val="00A832A0"/>
    <w:rsid w:val="00A839D7"/>
    <w:rsid w:val="00A86009"/>
    <w:rsid w:val="00A86CCC"/>
    <w:rsid w:val="00A91E9A"/>
    <w:rsid w:val="00A92A07"/>
    <w:rsid w:val="00A96122"/>
    <w:rsid w:val="00A96E08"/>
    <w:rsid w:val="00A96FB4"/>
    <w:rsid w:val="00AA0159"/>
    <w:rsid w:val="00AA0EEB"/>
    <w:rsid w:val="00AA1A0E"/>
    <w:rsid w:val="00AA35E0"/>
    <w:rsid w:val="00AA40C4"/>
    <w:rsid w:val="00AB232A"/>
    <w:rsid w:val="00AB247E"/>
    <w:rsid w:val="00AB4C83"/>
    <w:rsid w:val="00AB4E39"/>
    <w:rsid w:val="00AB5DD7"/>
    <w:rsid w:val="00AB6548"/>
    <w:rsid w:val="00AB7824"/>
    <w:rsid w:val="00AC1021"/>
    <w:rsid w:val="00AC46DC"/>
    <w:rsid w:val="00AC5645"/>
    <w:rsid w:val="00AC6698"/>
    <w:rsid w:val="00AD1AF7"/>
    <w:rsid w:val="00AD1C34"/>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063D3"/>
    <w:rsid w:val="00B10FFD"/>
    <w:rsid w:val="00B11E79"/>
    <w:rsid w:val="00B123AB"/>
    <w:rsid w:val="00B13F46"/>
    <w:rsid w:val="00B14325"/>
    <w:rsid w:val="00B14699"/>
    <w:rsid w:val="00B148AE"/>
    <w:rsid w:val="00B15ADC"/>
    <w:rsid w:val="00B15D0B"/>
    <w:rsid w:val="00B210C9"/>
    <w:rsid w:val="00B21386"/>
    <w:rsid w:val="00B22FE6"/>
    <w:rsid w:val="00B273EF"/>
    <w:rsid w:val="00B33A07"/>
    <w:rsid w:val="00B34013"/>
    <w:rsid w:val="00B42D08"/>
    <w:rsid w:val="00B431B5"/>
    <w:rsid w:val="00B45604"/>
    <w:rsid w:val="00B47CC0"/>
    <w:rsid w:val="00B55C81"/>
    <w:rsid w:val="00B57238"/>
    <w:rsid w:val="00B602F2"/>
    <w:rsid w:val="00B6187F"/>
    <w:rsid w:val="00B62534"/>
    <w:rsid w:val="00B62A43"/>
    <w:rsid w:val="00B638A9"/>
    <w:rsid w:val="00B6525F"/>
    <w:rsid w:val="00B70449"/>
    <w:rsid w:val="00B706B6"/>
    <w:rsid w:val="00B70F4B"/>
    <w:rsid w:val="00B71A7D"/>
    <w:rsid w:val="00B7591E"/>
    <w:rsid w:val="00B76415"/>
    <w:rsid w:val="00B77AE0"/>
    <w:rsid w:val="00B81002"/>
    <w:rsid w:val="00B8252D"/>
    <w:rsid w:val="00B82DE7"/>
    <w:rsid w:val="00B83612"/>
    <w:rsid w:val="00B84138"/>
    <w:rsid w:val="00B851C2"/>
    <w:rsid w:val="00B857B7"/>
    <w:rsid w:val="00B86749"/>
    <w:rsid w:val="00B877F4"/>
    <w:rsid w:val="00B90715"/>
    <w:rsid w:val="00B9132A"/>
    <w:rsid w:val="00B92565"/>
    <w:rsid w:val="00B93515"/>
    <w:rsid w:val="00BA0864"/>
    <w:rsid w:val="00BA3554"/>
    <w:rsid w:val="00BA4047"/>
    <w:rsid w:val="00BA4BC8"/>
    <w:rsid w:val="00BA5077"/>
    <w:rsid w:val="00BA6065"/>
    <w:rsid w:val="00BA6D56"/>
    <w:rsid w:val="00BA7A3B"/>
    <w:rsid w:val="00BB16E8"/>
    <w:rsid w:val="00BB1DCE"/>
    <w:rsid w:val="00BB28BA"/>
    <w:rsid w:val="00BB48AC"/>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26A"/>
    <w:rsid w:val="00BF759F"/>
    <w:rsid w:val="00BF7BA1"/>
    <w:rsid w:val="00C033D4"/>
    <w:rsid w:val="00C034EB"/>
    <w:rsid w:val="00C050F3"/>
    <w:rsid w:val="00C05365"/>
    <w:rsid w:val="00C056EB"/>
    <w:rsid w:val="00C07D91"/>
    <w:rsid w:val="00C125F2"/>
    <w:rsid w:val="00C137FB"/>
    <w:rsid w:val="00C13B0C"/>
    <w:rsid w:val="00C150B8"/>
    <w:rsid w:val="00C15AA8"/>
    <w:rsid w:val="00C16709"/>
    <w:rsid w:val="00C16A2B"/>
    <w:rsid w:val="00C173D6"/>
    <w:rsid w:val="00C17699"/>
    <w:rsid w:val="00C2308F"/>
    <w:rsid w:val="00C2401F"/>
    <w:rsid w:val="00C24225"/>
    <w:rsid w:val="00C27195"/>
    <w:rsid w:val="00C2774D"/>
    <w:rsid w:val="00C318D2"/>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019"/>
    <w:rsid w:val="00CA5430"/>
    <w:rsid w:val="00CA5873"/>
    <w:rsid w:val="00CA62B4"/>
    <w:rsid w:val="00CA6987"/>
    <w:rsid w:val="00CA712B"/>
    <w:rsid w:val="00CA743E"/>
    <w:rsid w:val="00CB20E1"/>
    <w:rsid w:val="00CB264C"/>
    <w:rsid w:val="00CC0B22"/>
    <w:rsid w:val="00CC1B84"/>
    <w:rsid w:val="00CC3A0D"/>
    <w:rsid w:val="00CC4290"/>
    <w:rsid w:val="00CC4419"/>
    <w:rsid w:val="00CC5C47"/>
    <w:rsid w:val="00CC6B22"/>
    <w:rsid w:val="00CC74B8"/>
    <w:rsid w:val="00CD166D"/>
    <w:rsid w:val="00CD17CF"/>
    <w:rsid w:val="00CD29FD"/>
    <w:rsid w:val="00CD4FDC"/>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BB2"/>
    <w:rsid w:val="00D21D32"/>
    <w:rsid w:val="00D21F8F"/>
    <w:rsid w:val="00D239E8"/>
    <w:rsid w:val="00D26B61"/>
    <w:rsid w:val="00D309DF"/>
    <w:rsid w:val="00D30A23"/>
    <w:rsid w:val="00D30E62"/>
    <w:rsid w:val="00D31784"/>
    <w:rsid w:val="00D322BD"/>
    <w:rsid w:val="00D32CFC"/>
    <w:rsid w:val="00D33BC1"/>
    <w:rsid w:val="00D36261"/>
    <w:rsid w:val="00D375A4"/>
    <w:rsid w:val="00D412EB"/>
    <w:rsid w:val="00D425EE"/>
    <w:rsid w:val="00D4278D"/>
    <w:rsid w:val="00D44548"/>
    <w:rsid w:val="00D44DB3"/>
    <w:rsid w:val="00D455FD"/>
    <w:rsid w:val="00D504C3"/>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BA4"/>
    <w:rsid w:val="00D93DD9"/>
    <w:rsid w:val="00D940F7"/>
    <w:rsid w:val="00D962E3"/>
    <w:rsid w:val="00D9660A"/>
    <w:rsid w:val="00DA286F"/>
    <w:rsid w:val="00DA3B3F"/>
    <w:rsid w:val="00DA74D2"/>
    <w:rsid w:val="00DA7E19"/>
    <w:rsid w:val="00DB38AA"/>
    <w:rsid w:val="00DB59EA"/>
    <w:rsid w:val="00DB605F"/>
    <w:rsid w:val="00DB6581"/>
    <w:rsid w:val="00DB6E14"/>
    <w:rsid w:val="00DB7AC2"/>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27C5"/>
    <w:rsid w:val="00E346F0"/>
    <w:rsid w:val="00E37D01"/>
    <w:rsid w:val="00E37F4F"/>
    <w:rsid w:val="00E42BB5"/>
    <w:rsid w:val="00E442FD"/>
    <w:rsid w:val="00E443D6"/>
    <w:rsid w:val="00E54461"/>
    <w:rsid w:val="00E54C83"/>
    <w:rsid w:val="00E55F2A"/>
    <w:rsid w:val="00E57C32"/>
    <w:rsid w:val="00E60851"/>
    <w:rsid w:val="00E62868"/>
    <w:rsid w:val="00E63E72"/>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0CD6"/>
    <w:rsid w:val="00E8353F"/>
    <w:rsid w:val="00E87227"/>
    <w:rsid w:val="00E92F78"/>
    <w:rsid w:val="00E94324"/>
    <w:rsid w:val="00E9482C"/>
    <w:rsid w:val="00E957FD"/>
    <w:rsid w:val="00E961FA"/>
    <w:rsid w:val="00E96A1C"/>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C6509"/>
    <w:rsid w:val="00ED025A"/>
    <w:rsid w:val="00ED16C2"/>
    <w:rsid w:val="00ED1762"/>
    <w:rsid w:val="00ED2D53"/>
    <w:rsid w:val="00ED3745"/>
    <w:rsid w:val="00ED43B8"/>
    <w:rsid w:val="00ED5101"/>
    <w:rsid w:val="00ED6298"/>
    <w:rsid w:val="00EE0327"/>
    <w:rsid w:val="00EE1CC6"/>
    <w:rsid w:val="00EE2988"/>
    <w:rsid w:val="00EE2C17"/>
    <w:rsid w:val="00EE35FD"/>
    <w:rsid w:val="00EE385A"/>
    <w:rsid w:val="00EE6654"/>
    <w:rsid w:val="00EE7967"/>
    <w:rsid w:val="00EF060B"/>
    <w:rsid w:val="00EF12B7"/>
    <w:rsid w:val="00EF23DE"/>
    <w:rsid w:val="00EF56CE"/>
    <w:rsid w:val="00EF5EF2"/>
    <w:rsid w:val="00EF6177"/>
    <w:rsid w:val="00EF642E"/>
    <w:rsid w:val="00EF725F"/>
    <w:rsid w:val="00EF75DF"/>
    <w:rsid w:val="00F013EC"/>
    <w:rsid w:val="00F01D33"/>
    <w:rsid w:val="00F04A45"/>
    <w:rsid w:val="00F04EBA"/>
    <w:rsid w:val="00F05508"/>
    <w:rsid w:val="00F06529"/>
    <w:rsid w:val="00F1092C"/>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9AE"/>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86FA6"/>
    <w:rsid w:val="00F90191"/>
    <w:rsid w:val="00F94B38"/>
    <w:rsid w:val="00F959A1"/>
    <w:rsid w:val="00F9614B"/>
    <w:rsid w:val="00F97F12"/>
    <w:rsid w:val="00F97F4A"/>
    <w:rsid w:val="00FA1CEB"/>
    <w:rsid w:val="00FA386D"/>
    <w:rsid w:val="00FA4753"/>
    <w:rsid w:val="00FA592F"/>
    <w:rsid w:val="00FA651B"/>
    <w:rsid w:val="00FA740D"/>
    <w:rsid w:val="00FB25CC"/>
    <w:rsid w:val="00FB6BD7"/>
    <w:rsid w:val="00FB6DC4"/>
    <w:rsid w:val="00FC17E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5DC6"/>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1FC59072-087A-453D-963C-C62F6A7D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29"/>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380131691">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46.bin"/><Relationship Id="rId89" Type="http://schemas.openxmlformats.org/officeDocument/2006/relationships/hyperlink" Target="https://kad.arbit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www.moodys.co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moex.co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bankrot.fedresurs.ru" TargetMode="External"/><Relationship Id="rId95" Type="http://schemas.openxmlformats.org/officeDocument/2006/relationships/hyperlink" Target="https://bankrot.fedresurs.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hyperlink" Target="https://www.spglobal.com/ratings/en/research/articles/220413-default-transition-and-recovery-2021-annual-global-corporate-default-and-rating-transition-study-12336975" TargetMode="External"/><Relationship Id="rId93" Type="http://schemas.openxmlformats.org/officeDocument/2006/relationships/hyperlink" Target="http://www.gks.ru/accounting_report" TargetMode="External"/><Relationship Id="rId98"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hyperlink" Target="https://www.cbr.ru/" TargetMode="External"/><Relationship Id="rId91" Type="http://schemas.openxmlformats.org/officeDocument/2006/relationships/hyperlink" Target="https://fedresurs.ru" TargetMode="External"/><Relationship Id="rId96" Type="http://schemas.openxmlformats.org/officeDocument/2006/relationships/hyperlink" Target="https://bankruptcy.kommers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e-disclosure.ru/" TargetMode="External"/><Relationship Id="rId94" Type="http://schemas.openxmlformats.org/officeDocument/2006/relationships/hyperlink" Target="https://kad.arbitr.ru/" TargetMode="External"/><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4C06-E111-4AD0-A4F4-4D7B42DC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26221</Words>
  <Characters>149463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175334</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3</cp:revision>
  <cp:lastPrinted>2023-06-19T12:28:00Z</cp:lastPrinted>
  <dcterms:created xsi:type="dcterms:W3CDTF">2024-02-14T11:17:00Z</dcterms:created>
  <dcterms:modified xsi:type="dcterms:W3CDTF">2024-02-14T11:17:00Z</dcterms:modified>
</cp:coreProperties>
</file>